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682" w:rsidRDefault="00A117D1">
      <w:pPr>
        <w:pBdr>
          <w:top w:val="nil"/>
          <w:left w:val="nil"/>
          <w:bottom w:val="nil"/>
          <w:right w:val="nil"/>
          <w:between w:val="nil"/>
        </w:pBdr>
        <w:spacing w:line="240" w:lineRule="auto"/>
        <w:ind w:right="2"/>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ANALYSIS OF THE EFFECT OF PSAK 72 IMPLEMENTATION ON FINANCIAL PERFORMANCE IN INFRASTRUCTURE SECTOR COMPANIES IN INDONESIA</w:t>
      </w:r>
    </w:p>
    <w:p w:rsidR="00774682" w:rsidRDefault="00774682">
      <w:pPr>
        <w:pBdr>
          <w:top w:val="nil"/>
          <w:left w:val="nil"/>
          <w:bottom w:val="nil"/>
          <w:right w:val="nil"/>
          <w:between w:val="nil"/>
        </w:pBdr>
        <w:spacing w:line="240" w:lineRule="auto"/>
        <w:ind w:right="2"/>
        <w:jc w:val="center"/>
        <w:rPr>
          <w:rFonts w:ascii="Times New Roman" w:eastAsia="Times New Roman" w:hAnsi="Times New Roman" w:cs="Times New Roman"/>
          <w:b/>
          <w:color w:val="000000"/>
          <w:sz w:val="24"/>
          <w:szCs w:val="24"/>
        </w:rPr>
      </w:pPr>
    </w:p>
    <w:p w:rsidR="00774682" w:rsidRDefault="00A117D1">
      <w:pPr>
        <w:pBdr>
          <w:top w:val="nil"/>
          <w:left w:val="nil"/>
          <w:bottom w:val="nil"/>
          <w:right w:val="nil"/>
          <w:between w:val="nil"/>
        </w:pBdr>
        <w:spacing w:line="240" w:lineRule="auto"/>
        <w:ind w:righ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ANALISIS PENGARUH IMPLEMENTASI PSAK 72 TERHADAP KINERJA KEUANGAN PADA PERUSAHAAN SEKTOR INFRASTRUKTUR DI INDONESIA</w:t>
      </w:r>
    </w:p>
    <w:p w:rsidR="00774682" w:rsidRDefault="00774682">
      <w:pPr>
        <w:pBdr>
          <w:top w:val="nil"/>
          <w:left w:val="nil"/>
          <w:bottom w:val="nil"/>
          <w:right w:val="nil"/>
          <w:between w:val="nil"/>
        </w:pBdr>
        <w:spacing w:line="240" w:lineRule="auto"/>
        <w:ind w:right="2"/>
        <w:jc w:val="center"/>
        <w:rPr>
          <w:rFonts w:ascii="Times New Roman" w:eastAsia="Times New Roman" w:hAnsi="Times New Roman" w:cs="Times New Roman"/>
          <w:i/>
          <w:color w:val="000000"/>
        </w:rPr>
      </w:pPr>
    </w:p>
    <w:p w:rsidR="00774682" w:rsidRDefault="00A117D1">
      <w:pPr>
        <w:pBdr>
          <w:top w:val="nil"/>
          <w:left w:val="nil"/>
          <w:bottom w:val="nil"/>
          <w:right w:val="nil"/>
          <w:between w:val="nil"/>
        </w:pBdr>
        <w:spacing w:line="240" w:lineRule="auto"/>
        <w:ind w:right="2"/>
        <w:jc w:val="center"/>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Muhammad Muharromi Susmay Albani</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Ira Nisrina Nur</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Nazwa Tiara Aisya</w:t>
      </w:r>
      <w:r>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 Lia Uzliawati</w:t>
      </w:r>
      <w:r>
        <w:rPr>
          <w:rFonts w:ascii="Times New Roman" w:eastAsia="Times New Roman" w:hAnsi="Times New Roman" w:cs="Times New Roman"/>
          <w:b/>
          <w:color w:val="000000"/>
          <w:vertAlign w:val="superscript"/>
        </w:rPr>
        <w:t>4</w:t>
      </w:r>
    </w:p>
    <w:p w:rsidR="00774682" w:rsidRDefault="00A117D1">
      <w:pPr>
        <w:pBdr>
          <w:top w:val="nil"/>
          <w:left w:val="nil"/>
          <w:bottom w:val="nil"/>
          <w:right w:val="nil"/>
          <w:between w:val="nil"/>
        </w:pBdr>
        <w:spacing w:line="240" w:lineRule="auto"/>
        <w:ind w:right="2"/>
        <w:jc w:val="center"/>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Fakultas Ekonomi dan Bisnis, Universitas Sultan Ageng Tirtayasa, Serang</w:t>
      </w:r>
      <w:r>
        <w:rPr>
          <w:rFonts w:ascii="Times New Roman" w:eastAsia="Times New Roman" w:hAnsi="Times New Roman" w:cs="Times New Roman"/>
          <w:color w:val="000000"/>
          <w:vertAlign w:val="superscript"/>
        </w:rPr>
        <w:t>1,2,3,4</w:t>
      </w:r>
    </w:p>
    <w:p w:rsidR="00774682" w:rsidRDefault="00A117D1">
      <w:pPr>
        <w:pBdr>
          <w:top w:val="nil"/>
          <w:left w:val="nil"/>
          <w:bottom w:val="nil"/>
          <w:right w:val="nil"/>
          <w:between w:val="nil"/>
        </w:pBdr>
        <w:spacing w:line="240" w:lineRule="auto"/>
        <w:ind w:right="2"/>
        <w:jc w:val="center"/>
        <w:rPr>
          <w:rFonts w:ascii="Times New Roman" w:eastAsia="Times New Roman" w:hAnsi="Times New Roman" w:cs="Times New Roman"/>
          <w:color w:val="000000"/>
          <w:vertAlign w:val="superscript"/>
        </w:rPr>
      </w:pPr>
      <w:hyperlink r:id="rId7">
        <w:r>
          <w:rPr>
            <w:rFonts w:ascii="Times New Roman" w:eastAsia="Times New Roman" w:hAnsi="Times New Roman" w:cs="Times New Roman"/>
            <w:color w:val="0000FF"/>
            <w:u w:val="single"/>
          </w:rPr>
          <w:t>5552210072@untirta.ac.id</w:t>
        </w:r>
      </w:hyperlink>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hyperlink r:id="rId8">
        <w:r>
          <w:rPr>
            <w:rFonts w:ascii="Times New Roman" w:eastAsia="Times New Roman" w:hAnsi="Times New Roman" w:cs="Times New Roman"/>
            <w:color w:val="0000FF"/>
            <w:u w:val="single"/>
          </w:rPr>
          <w:t>5552210017@untirta.ac.id</w:t>
        </w:r>
      </w:hyperlink>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hyperlink r:id="rId9">
        <w:r>
          <w:rPr>
            <w:rFonts w:ascii="Times New Roman" w:eastAsia="Times New Roman" w:hAnsi="Times New Roman" w:cs="Times New Roman"/>
            <w:color w:val="0000FF"/>
            <w:u w:val="single"/>
          </w:rPr>
          <w:t>5552210127@untirta.ac.id</w:t>
        </w:r>
      </w:hyperlink>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w:t>
      </w:r>
      <w:hyperlink r:id="rId10">
        <w:r>
          <w:rPr>
            <w:rFonts w:ascii="Times New Roman" w:eastAsia="Times New Roman" w:hAnsi="Times New Roman" w:cs="Times New Roman"/>
            <w:color w:val="0000FF"/>
            <w:u w:val="single"/>
          </w:rPr>
          <w:t>uzliawati@untirta.ac.id</w:t>
        </w:r>
      </w:hyperlink>
      <w:r>
        <w:rPr>
          <w:rFonts w:ascii="Times New Roman" w:eastAsia="Times New Roman" w:hAnsi="Times New Roman" w:cs="Times New Roman"/>
          <w:color w:val="000000"/>
          <w:vertAlign w:val="superscript"/>
        </w:rPr>
        <w:t>4</w:t>
      </w:r>
    </w:p>
    <w:p w:rsidR="00774682" w:rsidRDefault="00774682">
      <w:pPr>
        <w:spacing w:line="240" w:lineRule="auto"/>
        <w:ind w:right="2"/>
        <w:rPr>
          <w:rFonts w:ascii="Times New Roman" w:eastAsia="Times New Roman" w:hAnsi="Times New Roman" w:cs="Times New Roman"/>
          <w:b/>
          <w:i/>
          <w:sz w:val="24"/>
          <w:szCs w:val="24"/>
        </w:rPr>
      </w:pPr>
    </w:p>
    <w:p w:rsidR="00774682" w:rsidRDefault="00A117D1">
      <w:pPr>
        <w:spacing w:line="240" w:lineRule="auto"/>
        <w:ind w:right="2"/>
        <w:jc w:val="center"/>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ABSTRACT</w:t>
      </w:r>
    </w:p>
    <w:p w:rsidR="00774682" w:rsidRDefault="00A117D1">
      <w:pPr>
        <w:pStyle w:val="Heading5"/>
        <w:keepNext w:val="0"/>
        <w:keepLines w:val="0"/>
        <w:spacing w:before="0" w:after="0" w:line="240" w:lineRule="auto"/>
        <w:ind w:right="2"/>
        <w:jc w:val="both"/>
        <w:rPr>
          <w:rFonts w:ascii="Times New Roman" w:eastAsia="Times New Roman" w:hAnsi="Times New Roman" w:cs="Times New Roman"/>
          <w:i/>
          <w:color w:val="000000"/>
          <w:sz w:val="20"/>
          <w:szCs w:val="20"/>
        </w:rPr>
      </w:pPr>
      <w:bookmarkStart w:id="0" w:name="_gjdgxs" w:colFirst="0" w:colLast="0"/>
      <w:bookmarkEnd w:id="0"/>
      <w:r>
        <w:rPr>
          <w:rFonts w:ascii="Times New Roman" w:eastAsia="Times New Roman" w:hAnsi="Times New Roman" w:cs="Times New Roman"/>
          <w:i/>
          <w:color w:val="000000"/>
          <w:sz w:val="20"/>
          <w:szCs w:val="20"/>
        </w:rPr>
        <w:t>The purpose of this research is to determine the effect of implementing PSAK 72 on the financial performance of companies operating in the infrastructure sector. Statement of Financial Accounting Standards (PSAK) 72 regulates Revenue from Contracts with Cu</w:t>
      </w:r>
      <w:r>
        <w:rPr>
          <w:rFonts w:ascii="Times New Roman" w:eastAsia="Times New Roman" w:hAnsi="Times New Roman" w:cs="Times New Roman"/>
          <w:i/>
          <w:color w:val="000000"/>
          <w:sz w:val="20"/>
          <w:szCs w:val="20"/>
        </w:rPr>
        <w:t>stomers. The research was carried out in sectors that were considered to be highly impacted by PSAK 72. One of them is the infrastructure sector which will be studied in this article. The variables used in this research are PSAK 72, Current Ratio, Return o</w:t>
      </w:r>
      <w:r>
        <w:rPr>
          <w:rFonts w:ascii="Times New Roman" w:eastAsia="Times New Roman" w:hAnsi="Times New Roman" w:cs="Times New Roman"/>
          <w:i/>
          <w:color w:val="000000"/>
          <w:sz w:val="20"/>
          <w:szCs w:val="20"/>
        </w:rPr>
        <w:t>n Equity, and Debt to Asset Ratio. The analysis technique used is quantitative descriptive analysis with purposive sampling as the sampling technique. The population in this research is companies operating in the infrastructure sector that are listed on th</w:t>
      </w:r>
      <w:r>
        <w:rPr>
          <w:rFonts w:ascii="Times New Roman" w:eastAsia="Times New Roman" w:hAnsi="Times New Roman" w:cs="Times New Roman"/>
          <w:i/>
          <w:color w:val="000000"/>
          <w:sz w:val="20"/>
          <w:szCs w:val="20"/>
        </w:rPr>
        <w:t>e Indonesia Stock Exchange in 2019-2020. The sample used was 25 companies. This research shows the results that the implementation of PSAK 72 does not have a significant effect on Return on Equity (ROE) and Debt to Asset Ratio (DAR) in infrastructure secto</w:t>
      </w:r>
      <w:r>
        <w:rPr>
          <w:rFonts w:ascii="Times New Roman" w:eastAsia="Times New Roman" w:hAnsi="Times New Roman" w:cs="Times New Roman"/>
          <w:i/>
          <w:color w:val="000000"/>
          <w:sz w:val="20"/>
          <w:szCs w:val="20"/>
        </w:rPr>
        <w:t>r companies in Indonesia. However, PSAK 72 has a significant effect on the Current Ratio. So based on this research, the influence of PSAK 72 on the financial performance of infrastructure sector companies is only limited to the current ratio.</w:t>
      </w:r>
    </w:p>
    <w:p w:rsidR="00774682" w:rsidRDefault="00A117D1">
      <w:pPr>
        <w:spacing w:line="240" w:lineRule="auto"/>
        <w:ind w:right="2"/>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Keywords: </w:t>
      </w:r>
      <w:r>
        <w:rPr>
          <w:rFonts w:ascii="Times New Roman" w:eastAsia="Times New Roman" w:hAnsi="Times New Roman" w:cs="Times New Roman"/>
          <w:i/>
          <w:sz w:val="20"/>
          <w:szCs w:val="20"/>
        </w:rPr>
        <w:t>PS</w:t>
      </w:r>
      <w:r>
        <w:rPr>
          <w:rFonts w:ascii="Times New Roman" w:eastAsia="Times New Roman" w:hAnsi="Times New Roman" w:cs="Times New Roman"/>
          <w:i/>
          <w:sz w:val="20"/>
          <w:szCs w:val="20"/>
        </w:rPr>
        <w:t>ALK 72, Current Ratio, Return on Equity, Debt on Asset Ratio, Infrastructure Company</w:t>
      </w:r>
    </w:p>
    <w:p w:rsidR="00774682" w:rsidRDefault="00774682">
      <w:pPr>
        <w:spacing w:line="240" w:lineRule="auto"/>
        <w:ind w:right="2"/>
        <w:jc w:val="both"/>
        <w:rPr>
          <w:rFonts w:ascii="Times New Roman" w:eastAsia="Times New Roman" w:hAnsi="Times New Roman" w:cs="Times New Roman"/>
          <w:sz w:val="20"/>
          <w:szCs w:val="20"/>
        </w:rPr>
      </w:pPr>
    </w:p>
    <w:p w:rsidR="00774682" w:rsidRDefault="00A117D1">
      <w:pPr>
        <w:spacing w:line="240" w:lineRule="auto"/>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ABSTRAK</w:t>
      </w:r>
    </w:p>
    <w:p w:rsidR="00774682" w:rsidRDefault="00A117D1">
      <w:pPr>
        <w:pStyle w:val="Heading5"/>
        <w:keepNext w:val="0"/>
        <w:keepLines w:val="0"/>
        <w:spacing w:before="0" w:after="0" w:line="240" w:lineRule="auto"/>
        <w:ind w:right="2"/>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Tujuan dilakukannya penelitian adalah guna mengetahui pengaruh dari penerapan PSAK 72 terhadap kinerja keuangan perusahaan yang bergerak di sektor infrastruktur. </w:t>
      </w:r>
      <w:r>
        <w:rPr>
          <w:rFonts w:ascii="Times New Roman" w:eastAsia="Times New Roman" w:hAnsi="Times New Roman" w:cs="Times New Roman"/>
          <w:color w:val="000000"/>
          <w:sz w:val="20"/>
          <w:szCs w:val="20"/>
        </w:rPr>
        <w:t xml:space="preserve">Pernyataan Standar Akuntansi Keuangan (PSAK) 72 mengatur tentang Pendapatan dari Kontrak dengan Pelanggan. Penelitian dilakukan pada sektor yang dinilai sangat terdampak oleh adanya PSAK 72 ini. Salah satunya adalah sektor infrastruktur yang akan diteliti </w:t>
      </w:r>
      <w:r>
        <w:rPr>
          <w:rFonts w:ascii="Times New Roman" w:eastAsia="Times New Roman" w:hAnsi="Times New Roman" w:cs="Times New Roman"/>
          <w:color w:val="000000"/>
          <w:sz w:val="20"/>
          <w:szCs w:val="20"/>
        </w:rPr>
        <w:t xml:space="preserve">pada artikel ini. Variabel yang digunakan dalam penelitian ini adalah PSAK 72, </w:t>
      </w:r>
      <w:r>
        <w:rPr>
          <w:rFonts w:ascii="Times New Roman" w:eastAsia="Times New Roman" w:hAnsi="Times New Roman" w:cs="Times New Roman"/>
          <w:i/>
          <w:color w:val="000000"/>
          <w:sz w:val="20"/>
          <w:szCs w:val="20"/>
        </w:rPr>
        <w:t>Current Ratio, Return on Equity</w:t>
      </w:r>
      <w:r>
        <w:rPr>
          <w:rFonts w:ascii="Times New Roman" w:eastAsia="Times New Roman" w:hAnsi="Times New Roman" w:cs="Times New Roman"/>
          <w:color w:val="000000"/>
          <w:sz w:val="20"/>
          <w:szCs w:val="20"/>
        </w:rPr>
        <w:t xml:space="preserve">, dan </w:t>
      </w:r>
      <w:r>
        <w:rPr>
          <w:rFonts w:ascii="Times New Roman" w:eastAsia="Times New Roman" w:hAnsi="Times New Roman" w:cs="Times New Roman"/>
          <w:i/>
          <w:color w:val="000000"/>
          <w:sz w:val="20"/>
          <w:szCs w:val="20"/>
        </w:rPr>
        <w:t>Debt to Asset Ratio</w:t>
      </w:r>
      <w:r>
        <w:rPr>
          <w:rFonts w:ascii="Times New Roman" w:eastAsia="Times New Roman" w:hAnsi="Times New Roman" w:cs="Times New Roman"/>
          <w:color w:val="000000"/>
          <w:sz w:val="20"/>
          <w:szCs w:val="20"/>
        </w:rPr>
        <w:t xml:space="preserve">. Teknik analisis yang digunakan adalah analisis deskriptif kuantitatif dengan </w:t>
      </w:r>
      <w:r>
        <w:rPr>
          <w:rFonts w:ascii="Times New Roman" w:eastAsia="Times New Roman" w:hAnsi="Times New Roman" w:cs="Times New Roman"/>
          <w:i/>
          <w:color w:val="000000"/>
          <w:sz w:val="20"/>
          <w:szCs w:val="20"/>
        </w:rPr>
        <w:t>purposive sampling</w:t>
      </w:r>
      <w:r>
        <w:rPr>
          <w:rFonts w:ascii="Times New Roman" w:eastAsia="Times New Roman" w:hAnsi="Times New Roman" w:cs="Times New Roman"/>
          <w:color w:val="000000"/>
          <w:sz w:val="20"/>
          <w:szCs w:val="20"/>
        </w:rPr>
        <w:t xml:space="preserve"> sebagai teknik pengambi</w:t>
      </w:r>
      <w:r>
        <w:rPr>
          <w:rFonts w:ascii="Times New Roman" w:eastAsia="Times New Roman" w:hAnsi="Times New Roman" w:cs="Times New Roman"/>
          <w:color w:val="000000"/>
          <w:sz w:val="20"/>
          <w:szCs w:val="20"/>
        </w:rPr>
        <w:t>lan sampelnya. Populasi pada penelitian ini yaitu perusahaan yang bergerak di sektor infrastruktur yang terdaftar di Bursa Efek Indonesia pada tahun 2019-2020. Sampel yang digunakan adalah sebanyak 25 perusahaan. Penelitian ini menunjukkan hasil bahwa impl</w:t>
      </w:r>
      <w:r>
        <w:rPr>
          <w:rFonts w:ascii="Times New Roman" w:eastAsia="Times New Roman" w:hAnsi="Times New Roman" w:cs="Times New Roman"/>
          <w:color w:val="000000"/>
          <w:sz w:val="20"/>
          <w:szCs w:val="20"/>
        </w:rPr>
        <w:t xml:space="preserve">ementasi PSAK 72 tidak berpengaruh secara signifikan terhadap </w:t>
      </w:r>
      <w:r>
        <w:rPr>
          <w:rFonts w:ascii="Times New Roman" w:eastAsia="Times New Roman" w:hAnsi="Times New Roman" w:cs="Times New Roman"/>
          <w:i/>
          <w:color w:val="000000"/>
          <w:sz w:val="20"/>
          <w:szCs w:val="20"/>
        </w:rPr>
        <w:t>Return on Equity (ROE) dan Debt to Asset Ratio (DAR)</w:t>
      </w:r>
      <w:r>
        <w:rPr>
          <w:rFonts w:ascii="Times New Roman" w:eastAsia="Times New Roman" w:hAnsi="Times New Roman" w:cs="Times New Roman"/>
          <w:color w:val="000000"/>
          <w:sz w:val="20"/>
          <w:szCs w:val="20"/>
        </w:rPr>
        <w:t xml:space="preserve"> pada perusahaan sektor infrastruktur di Indonesia. Namun demikian PSAK 72 berpengaruh secara signifikan terhadap </w:t>
      </w:r>
      <w:r>
        <w:rPr>
          <w:rFonts w:ascii="Times New Roman" w:eastAsia="Times New Roman" w:hAnsi="Times New Roman" w:cs="Times New Roman"/>
          <w:i/>
          <w:color w:val="000000"/>
          <w:sz w:val="20"/>
          <w:szCs w:val="20"/>
        </w:rPr>
        <w:t>Current Ratio</w:t>
      </w:r>
      <w:r>
        <w:rPr>
          <w:rFonts w:ascii="Times New Roman" w:eastAsia="Times New Roman" w:hAnsi="Times New Roman" w:cs="Times New Roman"/>
          <w:color w:val="000000"/>
          <w:sz w:val="20"/>
          <w:szCs w:val="20"/>
        </w:rPr>
        <w:t>. Sehingga berd</w:t>
      </w:r>
      <w:r>
        <w:rPr>
          <w:rFonts w:ascii="Times New Roman" w:eastAsia="Times New Roman" w:hAnsi="Times New Roman" w:cs="Times New Roman"/>
          <w:color w:val="000000"/>
          <w:sz w:val="20"/>
          <w:szCs w:val="20"/>
        </w:rPr>
        <w:t xml:space="preserve">asarkan pada penelitian ini pengaruh PSAK 72 terhadap kinerja keuangan perusahaan sektor infrastruktur hanya terbatas pada </w:t>
      </w:r>
      <w:r>
        <w:rPr>
          <w:rFonts w:ascii="Times New Roman" w:eastAsia="Times New Roman" w:hAnsi="Times New Roman" w:cs="Times New Roman"/>
          <w:i/>
          <w:color w:val="000000"/>
          <w:sz w:val="20"/>
          <w:szCs w:val="20"/>
        </w:rPr>
        <w:t>current ratio</w:t>
      </w:r>
      <w:r>
        <w:rPr>
          <w:rFonts w:ascii="Times New Roman" w:eastAsia="Times New Roman" w:hAnsi="Times New Roman" w:cs="Times New Roman"/>
          <w:color w:val="000000"/>
          <w:sz w:val="20"/>
          <w:szCs w:val="20"/>
        </w:rPr>
        <w:t>.</w:t>
      </w:r>
    </w:p>
    <w:p w:rsidR="00774682" w:rsidRDefault="00A117D1">
      <w:pPr>
        <w:spacing w:line="240" w:lineRule="auto"/>
        <w:ind w:right="2"/>
        <w:jc w:val="both"/>
        <w:rPr>
          <w:rFonts w:ascii="Times New Roman" w:eastAsia="Times New Roman" w:hAnsi="Times New Roman" w:cs="Times New Roman"/>
          <w:sz w:val="20"/>
          <w:szCs w:val="20"/>
        </w:rPr>
        <w:sectPr w:rsidR="00774682" w:rsidSect="00A032B5">
          <w:headerReference w:type="default" r:id="rId11"/>
          <w:footerReference w:type="default" r:id="rId12"/>
          <w:headerReference w:type="first" r:id="rId13"/>
          <w:footerReference w:type="first" r:id="rId14"/>
          <w:pgSz w:w="11909" w:h="16834"/>
          <w:pgMar w:top="1701" w:right="1701" w:bottom="1701" w:left="1701" w:header="708" w:footer="708" w:gutter="0"/>
          <w:pgNumType w:start="9171"/>
          <w:cols w:space="720"/>
          <w:titlePg/>
        </w:sectPr>
      </w:pPr>
      <w:r>
        <w:rPr>
          <w:rFonts w:ascii="Times New Roman" w:eastAsia="Times New Roman" w:hAnsi="Times New Roman" w:cs="Times New Roman"/>
          <w:b/>
          <w:sz w:val="20"/>
          <w:szCs w:val="20"/>
        </w:rPr>
        <w:t xml:space="preserve">Kata Kunci: </w:t>
      </w:r>
      <w:r>
        <w:rPr>
          <w:rFonts w:ascii="Times New Roman" w:eastAsia="Times New Roman" w:hAnsi="Times New Roman" w:cs="Times New Roman"/>
          <w:sz w:val="20"/>
          <w:szCs w:val="20"/>
        </w:rPr>
        <w:t>PSAK 72, Current Ratio, Return on Equity, Debt on Asset Ratio, Perusahaan infrastruktur</w:t>
      </w:r>
    </w:p>
    <w:p w:rsidR="00774682" w:rsidRDefault="00774682">
      <w:pPr>
        <w:spacing w:line="240" w:lineRule="auto"/>
        <w:ind w:right="2"/>
        <w:rPr>
          <w:rFonts w:ascii="Times New Roman" w:eastAsia="Times New Roman" w:hAnsi="Times New Roman" w:cs="Times New Roman"/>
          <w:b/>
          <w:sz w:val="24"/>
          <w:szCs w:val="24"/>
        </w:rPr>
      </w:pPr>
    </w:p>
    <w:p w:rsidR="00774682" w:rsidRDefault="00A117D1">
      <w:pPr>
        <w:spacing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Beberapa perusahaan menggunakan Standar Akuntansi Keuangan (SAK) dalam pelaporan keuangan mereka. SAK mengalami revisi secara berkala, disesuaikan dengan p</w:t>
      </w:r>
      <w:r>
        <w:rPr>
          <w:rFonts w:ascii="Times New Roman" w:eastAsia="Times New Roman" w:hAnsi="Times New Roman" w:cs="Times New Roman"/>
          <w:sz w:val="24"/>
          <w:szCs w:val="24"/>
        </w:rPr>
        <w:t xml:space="preserve">erkembangan ekonomi. Oleh </w:t>
      </w:r>
    </w:p>
    <w:p w:rsidR="00774682" w:rsidRDefault="00774682">
      <w:pPr>
        <w:spacing w:line="240" w:lineRule="auto"/>
        <w:ind w:right="2" w:firstLine="567"/>
        <w:jc w:val="both"/>
        <w:rPr>
          <w:rFonts w:ascii="Times New Roman" w:eastAsia="Times New Roman" w:hAnsi="Times New Roman" w:cs="Times New Roman"/>
          <w:sz w:val="24"/>
          <w:szCs w:val="24"/>
        </w:rPr>
      </w:pPr>
    </w:p>
    <w:p w:rsidR="00774682" w:rsidRDefault="00A117D1">
      <w:pPr>
        <w:spacing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karena itu, Dewan Standar Akuntansi Keuangan (DSAK) harus mengadaptasi revisi, penambahan, dan penghapusan standar sesuai kebutuhan. Pada tahun 2017, IAI melalui Dewan Standar Akuntansi Keuangan (DSAK) mengeluarkan tiga Pernyata</w:t>
      </w:r>
      <w:r>
        <w:rPr>
          <w:rFonts w:ascii="Times New Roman" w:eastAsia="Times New Roman" w:hAnsi="Times New Roman" w:cs="Times New Roman"/>
          <w:sz w:val="24"/>
          <w:szCs w:val="24"/>
        </w:rPr>
        <w:t xml:space="preserve">an Standar </w:t>
      </w:r>
      <w:r>
        <w:rPr>
          <w:rFonts w:ascii="Times New Roman" w:eastAsia="Times New Roman" w:hAnsi="Times New Roman" w:cs="Times New Roman"/>
          <w:sz w:val="24"/>
          <w:szCs w:val="24"/>
        </w:rPr>
        <w:lastRenderedPageBreak/>
        <w:t>Akuntansi Keuangan (PSAK) baru, termasuk PSAK 71 tentang Instrumen Keuangan (berdasarkan IFRS 9), PSAK 72 mengenali Pendapatan dari Kontrak dengan Konsumen (berdasarkan IFRS 15), dan PSAK 73 yang mengatur tentang Sewa (berdasarkan IFRS 16). Keti</w:t>
      </w:r>
      <w:r>
        <w:rPr>
          <w:rFonts w:ascii="Times New Roman" w:eastAsia="Times New Roman" w:hAnsi="Times New Roman" w:cs="Times New Roman"/>
          <w:sz w:val="24"/>
          <w:szCs w:val="24"/>
        </w:rPr>
        <w:t>ga standar tersebut alkalin efektif diterapkan di Indonesia mulai 1 Januari 2020 (Casnila  &amp;  Nurfitriana,  2020).</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Pengakuan pendapatan dari kontrak dengan pelanggan telah diatur dalam PSAK 23 sebelumnya. Namun, dengan dikeluarkannya PSAK 72, terdapat peru</w:t>
      </w:r>
      <w:r>
        <w:rPr>
          <w:rFonts w:ascii="Times New Roman" w:eastAsia="Times New Roman" w:hAnsi="Times New Roman" w:cs="Times New Roman"/>
          <w:sz w:val="24"/>
          <w:szCs w:val="24"/>
        </w:rPr>
        <w:t>bahan signifikan dalam perlakuan akuntansi pendapatan. PSAK 72 mengharuskan entitas untuk mengidentifikasi kontrak dengan pelanggan, mengidentifikasi kewajiban kinerja, menentukan harga transaksi, alokasi harga transaksi ke kewajiban kinerja, mengakui pend</w:t>
      </w:r>
      <w:r>
        <w:rPr>
          <w:rFonts w:ascii="Times New Roman" w:eastAsia="Times New Roman" w:hAnsi="Times New Roman" w:cs="Times New Roman"/>
          <w:sz w:val="24"/>
          <w:szCs w:val="24"/>
        </w:rPr>
        <w:t>apatan saat kewajiban kinerja terpenuhi, dan mengungkapkan informasi yang relevan mengenai kontrak dengan pelanggan.</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PSAK  72 memiliki  perbedaan  dalam  mengakui  pendapatan  dengan PSAK sebelumnya. Jika awalnya pendapatan diakui bersifat </w:t>
      </w:r>
      <w:r>
        <w:rPr>
          <w:rFonts w:ascii="Times New Roman" w:eastAsia="Times New Roman" w:hAnsi="Times New Roman" w:cs="Times New Roman"/>
          <w:i/>
          <w:sz w:val="24"/>
          <w:szCs w:val="24"/>
        </w:rPr>
        <w:t>rule based</w:t>
      </w:r>
      <w:r>
        <w:rPr>
          <w:rFonts w:ascii="Times New Roman" w:eastAsia="Times New Roman" w:hAnsi="Times New Roman" w:cs="Times New Roman"/>
          <w:sz w:val="24"/>
          <w:szCs w:val="24"/>
        </w:rPr>
        <w:t xml:space="preserve"> diman</w:t>
      </w:r>
      <w:r>
        <w:rPr>
          <w:rFonts w:ascii="Times New Roman" w:eastAsia="Times New Roman" w:hAnsi="Times New Roman" w:cs="Times New Roman"/>
          <w:sz w:val="24"/>
          <w:szCs w:val="24"/>
        </w:rPr>
        <w:t>a pengakuannya bersifat  kaku  sedangkan  berdasarkan  standar  yang  baru  pendapatan  diakui  dengan prinsip (</w:t>
      </w:r>
      <w:r>
        <w:rPr>
          <w:rFonts w:ascii="Times New Roman" w:eastAsia="Times New Roman" w:hAnsi="Times New Roman" w:cs="Times New Roman"/>
          <w:i/>
          <w:sz w:val="24"/>
          <w:szCs w:val="24"/>
        </w:rPr>
        <w:t>principle   based</w:t>
      </w:r>
      <w:r>
        <w:rPr>
          <w:rFonts w:ascii="Times New Roman" w:eastAsia="Times New Roman" w:hAnsi="Times New Roman" w:cs="Times New Roman"/>
          <w:sz w:val="24"/>
          <w:szCs w:val="24"/>
        </w:rPr>
        <w:t>). Standar terbaru mengatur bahwa pengakuan pendapatan tidak lagi tergantung pada jumlah uang muka yang diterima, tetapi bergan</w:t>
      </w:r>
      <w:r>
        <w:rPr>
          <w:rFonts w:ascii="Times New Roman" w:eastAsia="Times New Roman" w:hAnsi="Times New Roman" w:cs="Times New Roman"/>
          <w:sz w:val="24"/>
          <w:szCs w:val="24"/>
        </w:rPr>
        <w:t>tung pada kewajiban kontrak yang telah diberikan oleh suatu entitas kepada pelanggan sesuai dengan kontrak yang telah disepakati. Pengakuan pendapatan dapat dilakukan secara bertahap sesuai dengan masa berlaku kontrak yang telah disepakati atau pada saat t</w:t>
      </w:r>
      <w:r>
        <w:rPr>
          <w:rFonts w:ascii="Times New Roman" w:eastAsia="Times New Roman" w:hAnsi="Times New Roman" w:cs="Times New Roman"/>
          <w:sz w:val="24"/>
          <w:szCs w:val="24"/>
        </w:rPr>
        <w:t>ertentu. Selain itu terdapat  beberapa sektor yang    dipengaruhi    dengan    adanya    penetapan    standar    baru    ini    diantaranya telekomunikasi,   konstruksi,   manufaktur,   ritel   dan penerbangan.   Perubahan   standar   ini mempengaruhi semu</w:t>
      </w:r>
      <w:r>
        <w:rPr>
          <w:rFonts w:ascii="Times New Roman" w:eastAsia="Times New Roman" w:hAnsi="Times New Roman" w:cs="Times New Roman"/>
          <w:sz w:val="24"/>
          <w:szCs w:val="24"/>
        </w:rPr>
        <w:t>a sektor industri yang memiliki kontrak dengan pelanggan (Wisnalntialstri, 2018)</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terdahulu dalam konteks implementasi PSAK 72 umumnya berfokus pada sektor manufaktur, industri, dan </w:t>
      </w:r>
      <w:r>
        <w:rPr>
          <w:rFonts w:ascii="Times New Roman" w:eastAsia="Times New Roman" w:hAnsi="Times New Roman" w:cs="Times New Roman"/>
          <w:i/>
          <w:sz w:val="24"/>
          <w:szCs w:val="24"/>
        </w:rPr>
        <w:t>real estate</w:t>
      </w:r>
      <w:r>
        <w:rPr>
          <w:rFonts w:ascii="Times New Roman" w:eastAsia="Times New Roman" w:hAnsi="Times New Roman" w:cs="Times New Roman"/>
          <w:sz w:val="24"/>
          <w:szCs w:val="24"/>
        </w:rPr>
        <w:t xml:space="preserve">. Oleh karena itu, penelitian ini menjadi penting karena menggunakan sektor infrastruktur sebagai pembeda dan menjelajah yang belum diteliti. Sektor infrastruktur di Indonesia, yang meliputi pembangunan jalan raya, jembatan, bandara, pelabuhan, dan proyek </w:t>
      </w:r>
      <w:r>
        <w:rPr>
          <w:rFonts w:ascii="Times New Roman" w:eastAsia="Times New Roman" w:hAnsi="Times New Roman" w:cs="Times New Roman"/>
          <w:sz w:val="24"/>
          <w:szCs w:val="24"/>
        </w:rPr>
        <w:t>infrastruktur lainnya, merupakan salah satu sektor ekonomi yang sangat dipengaruhi oleh implementasi PSAK 72.</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Perusahaan-perusahaan infrastruktur sering kali terlibat dalam kontrak jangka panjang dengan pelanggan, yang mencakup berbagai kewajiban kinerja y</w:t>
      </w:r>
      <w:r>
        <w:rPr>
          <w:rFonts w:ascii="Times New Roman" w:eastAsia="Times New Roman" w:hAnsi="Times New Roman" w:cs="Times New Roman"/>
          <w:sz w:val="24"/>
          <w:szCs w:val="24"/>
        </w:rPr>
        <w:t>ang harus dipenuhi selama periode kontrak berlangsung. Oleh karena itu, perubahan dalam pengakuan pendapatan dari kontrak dengan pelanggan dapat memiliki dampak yang signifikan terhadap laporan keuangan dan kinerja keuangan perusahaan infrastruktur.</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w:t>
      </w:r>
      <w:r>
        <w:rPr>
          <w:rFonts w:ascii="Times New Roman" w:eastAsia="Times New Roman" w:hAnsi="Times New Roman" w:cs="Times New Roman"/>
          <w:sz w:val="24"/>
          <w:szCs w:val="24"/>
        </w:rPr>
        <w:t>tian ini bertujuan untuk menguji pengaruh implementasi PSAK 72 terhadap kinerja keuangan pada perusahaan sektor infrastruktur di Indonesia. Dengan memperhatikan kompleksitas kontrak dan kewajiban kinerja yang umumnya dimiliki oleh perusahaan infrastruktur,</w:t>
      </w:r>
      <w:r>
        <w:rPr>
          <w:rFonts w:ascii="Times New Roman" w:eastAsia="Times New Roman" w:hAnsi="Times New Roman" w:cs="Times New Roman"/>
          <w:sz w:val="24"/>
          <w:szCs w:val="24"/>
        </w:rPr>
        <w:t xml:space="preserve"> penting untuk memahami bagaimana implementasi PSAK 72 dapat mempengaruhi pengukuran kinerja keuangan perusahaan-perusahaan tersebut. Dalam konteks ini, analisis kinerja keuangan perusahaan infrastruktur akan difokuskan paldal Rasio Lancar, </w:t>
      </w:r>
      <w:r>
        <w:rPr>
          <w:rFonts w:ascii="Times New Roman" w:eastAsia="Times New Roman" w:hAnsi="Times New Roman" w:cs="Times New Roman"/>
          <w:i/>
          <w:sz w:val="24"/>
          <w:szCs w:val="24"/>
        </w:rPr>
        <w:t>Return on Equit</w:t>
      </w:r>
      <w:r>
        <w:rPr>
          <w:rFonts w:ascii="Times New Roman" w:eastAsia="Times New Roman" w:hAnsi="Times New Roman" w:cs="Times New Roman"/>
          <w:i/>
          <w:sz w:val="24"/>
          <w:szCs w:val="24"/>
        </w:rPr>
        <w:t>y</w:t>
      </w:r>
      <w:r>
        <w:rPr>
          <w:rFonts w:ascii="Times New Roman" w:eastAsia="Times New Roman" w:hAnsi="Times New Roman" w:cs="Times New Roman"/>
          <w:sz w:val="24"/>
          <w:szCs w:val="24"/>
        </w:rPr>
        <w:t xml:space="preserve"> (ROE), dan </w:t>
      </w:r>
      <w:r>
        <w:rPr>
          <w:rFonts w:ascii="Times New Roman" w:eastAsia="Times New Roman" w:hAnsi="Times New Roman" w:cs="Times New Roman"/>
          <w:i/>
          <w:sz w:val="24"/>
          <w:szCs w:val="24"/>
        </w:rPr>
        <w:t>Debt to Asset Ratio</w:t>
      </w:r>
      <w:r>
        <w:rPr>
          <w:rFonts w:ascii="Times New Roman" w:eastAsia="Times New Roman" w:hAnsi="Times New Roman" w:cs="Times New Roman"/>
          <w:sz w:val="24"/>
          <w:szCs w:val="24"/>
        </w:rPr>
        <w:t>, sebagai indikator utama kesehatan keuangan dan keberlanjutan operasional perusahaan infrastruktur.</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 di sektor infrastruktur mempunyai peran strategis dalam pembangunan perekonomian suatu negara, terutama dalam me</w:t>
      </w:r>
      <w:r>
        <w:rPr>
          <w:rFonts w:ascii="Times New Roman" w:eastAsia="Times New Roman" w:hAnsi="Times New Roman" w:cs="Times New Roman"/>
          <w:sz w:val="24"/>
          <w:szCs w:val="24"/>
        </w:rPr>
        <w:t>ndukung infrastruktur yang berkualitas dan berkelanjutan. Dalam konteks Indonesia, sektor infrastruktur merupakan salah satu sektor yang mendapat perhatian besar dalam upaya peningkatan kualitas infrastruktur nasional. Menerapkan standar akuntansi yang tep</w:t>
      </w:r>
      <w:r>
        <w:rPr>
          <w:rFonts w:ascii="Times New Roman" w:eastAsia="Times New Roman" w:hAnsi="Times New Roman" w:cs="Times New Roman"/>
          <w:sz w:val="24"/>
          <w:szCs w:val="24"/>
        </w:rPr>
        <w:t>at sangat penting untuk memastikan transparansi dan akuntabilitas dalam pelaporan keuangan perusahaan. Salah satu standar akuntansi yang baru diperkenalkan adalah PSAK 72 (Pernyataan Standar Akuntansi Keuangan 72) untuk instrumen keuangan.</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Pemberlakuan PS</w:t>
      </w:r>
      <w:r>
        <w:rPr>
          <w:rFonts w:ascii="Times New Roman" w:eastAsia="Times New Roman" w:hAnsi="Times New Roman" w:cs="Times New Roman"/>
          <w:sz w:val="24"/>
          <w:szCs w:val="24"/>
        </w:rPr>
        <w:t>AK 72 mempunyai implikasi penting terhadap pelaporan keuangan, khususnya bagi perusahaan di sektor infrastruktur yang sering menggunakan instrumen keuangan untuk mendukung operasi dan investasinya. Namun, belum ada penelitian yang menyelidiki secara spesif</w:t>
      </w:r>
      <w:r>
        <w:rPr>
          <w:rFonts w:ascii="Times New Roman" w:eastAsia="Times New Roman" w:hAnsi="Times New Roman" w:cs="Times New Roman"/>
          <w:sz w:val="24"/>
          <w:szCs w:val="24"/>
        </w:rPr>
        <w:t>ik dampak penerapan PSAK 72 terhadap kinerja keuangan perusahaan sektor infrastruktur di Indonesia.</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Oleh karena itu, penelitian ini menambah literatur dengan menganalisis dampak penerapan PSAK 72 terhadap kinerja keuangan perusahaan sektor infrastruktur y</w:t>
      </w:r>
      <w:r>
        <w:rPr>
          <w:rFonts w:ascii="Times New Roman" w:eastAsia="Times New Roman" w:hAnsi="Times New Roman" w:cs="Times New Roman"/>
          <w:sz w:val="24"/>
          <w:szCs w:val="24"/>
        </w:rPr>
        <w:t xml:space="preserve">ang diukur dengan </w:t>
      </w:r>
      <w:r>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ROE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debt-to-assets ratio</w:t>
      </w:r>
      <w:r>
        <w:rPr>
          <w:rFonts w:ascii="Times New Roman" w:eastAsia="Times New Roman" w:hAnsi="Times New Roman" w:cs="Times New Roman"/>
          <w:sz w:val="24"/>
          <w:szCs w:val="24"/>
        </w:rPr>
        <w:t xml:space="preserve"> mengisi kesenjangan. Penelitian ini diharapkan dapat memberikan wawasan baru kepada pemangku kepentingan dalam memahami implikasi penerapan PSAK 72 pada sektor infrastruktur </w:t>
      </w:r>
      <w:r>
        <w:rPr>
          <w:rFonts w:ascii="Times New Roman" w:eastAsia="Times New Roman" w:hAnsi="Times New Roman" w:cs="Times New Roman"/>
          <w:sz w:val="24"/>
          <w:szCs w:val="24"/>
        </w:rPr>
        <w:t>di Indonesia.</w:t>
      </w:r>
    </w:p>
    <w:p w:rsidR="00774682" w:rsidRDefault="00774682">
      <w:pPr>
        <w:spacing w:line="240" w:lineRule="auto"/>
        <w:ind w:right="2" w:firstLine="547"/>
        <w:jc w:val="both"/>
        <w:rPr>
          <w:rFonts w:ascii="Times New Roman" w:eastAsia="Times New Roman" w:hAnsi="Times New Roman" w:cs="Times New Roman"/>
          <w:sz w:val="24"/>
          <w:szCs w:val="24"/>
        </w:rPr>
      </w:pPr>
    </w:p>
    <w:p w:rsidR="00774682" w:rsidRDefault="00A117D1">
      <w:pPr>
        <w:spacing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TELAAH TEORI DAN PENGEMBANGAN HIPOTESIS</w:t>
      </w: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Telaah Teori</w:t>
      </w: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Institutional Theory </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Teori ini biasa disebut dengan teori kelembagaan yakni terbentuknya organisasi karena dari tekanan lingkungan institusional yang menyebabkan terjadinya institusionalisasi. Teori ini didasari atas pemikiran bahwa untuk bertahap hidup, suatu organisasi harus</w:t>
      </w:r>
      <w:r>
        <w:rPr>
          <w:rFonts w:ascii="Times New Roman" w:eastAsia="Times New Roman" w:hAnsi="Times New Roman" w:cs="Times New Roman"/>
          <w:sz w:val="24"/>
          <w:szCs w:val="24"/>
        </w:rPr>
        <w:t xml:space="preserve"> mampu meyakini publik atau masyarakat bahwa organisasi merupakan suatu entitas yang sah (</w:t>
      </w:r>
      <w:r>
        <w:rPr>
          <w:rFonts w:ascii="Times New Roman" w:eastAsia="Times New Roman" w:hAnsi="Times New Roman" w:cs="Times New Roman"/>
          <w:i/>
          <w:sz w:val="24"/>
          <w:szCs w:val="24"/>
        </w:rPr>
        <w:t>legitimate</w:t>
      </w:r>
      <w:r>
        <w:rPr>
          <w:rFonts w:ascii="Times New Roman" w:eastAsia="Times New Roman" w:hAnsi="Times New Roman" w:cs="Times New Roman"/>
          <w:sz w:val="24"/>
          <w:szCs w:val="24"/>
        </w:rPr>
        <w:t xml:space="preserve">) serta layak untuk didukung (Ridha dan Basuki, 2012). </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Theory menjelaskan bahwa teori ini digunakan untuk menjelaskan tindakan dan pengambila</w:t>
      </w:r>
      <w:r>
        <w:rPr>
          <w:rFonts w:ascii="Times New Roman" w:eastAsia="Times New Roman" w:hAnsi="Times New Roman" w:cs="Times New Roman"/>
          <w:sz w:val="24"/>
          <w:szCs w:val="24"/>
        </w:rPr>
        <w:t xml:space="preserve">n keputusan dalam organisasi publik. PSAK 72 menggantikan sistem pendapatan kontrak berawal dari </w:t>
      </w:r>
      <w:r>
        <w:rPr>
          <w:rFonts w:ascii="Times New Roman" w:eastAsia="Times New Roman" w:hAnsi="Times New Roman" w:cs="Times New Roman"/>
          <w:i/>
          <w:sz w:val="24"/>
          <w:szCs w:val="24"/>
        </w:rPr>
        <w:t>rule based</w:t>
      </w:r>
      <w:r>
        <w:rPr>
          <w:rFonts w:ascii="Times New Roman" w:eastAsia="Times New Roman" w:hAnsi="Times New Roman" w:cs="Times New Roman"/>
          <w:sz w:val="24"/>
          <w:szCs w:val="24"/>
        </w:rPr>
        <w:t xml:space="preserve"> menjadi </w:t>
      </w:r>
      <w:r>
        <w:rPr>
          <w:rFonts w:ascii="Times New Roman" w:eastAsia="Times New Roman" w:hAnsi="Times New Roman" w:cs="Times New Roman"/>
          <w:i/>
          <w:sz w:val="24"/>
          <w:szCs w:val="24"/>
        </w:rPr>
        <w:t>principle based</w:t>
      </w:r>
      <w:r>
        <w:rPr>
          <w:rFonts w:ascii="Times New Roman" w:eastAsia="Times New Roman" w:hAnsi="Times New Roman" w:cs="Times New Roman"/>
          <w:sz w:val="24"/>
          <w:szCs w:val="24"/>
        </w:rPr>
        <w:t>. Maksud dari penerapan ini sebagai dasar untuk memberikan informasi bagi pengguna laporan keuangan dari waktu, sifat, dan ke</w:t>
      </w:r>
      <w:r>
        <w:rPr>
          <w:rFonts w:ascii="Times New Roman" w:eastAsia="Times New Roman" w:hAnsi="Times New Roman" w:cs="Times New Roman"/>
          <w:sz w:val="24"/>
          <w:szCs w:val="24"/>
        </w:rPr>
        <w:t>tidakyakinan pada pendapatan serta arus kas yang muncul dari kontrak dengan pelanggan.</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Theory ini berguna untuk menjelaskan bahwa Ikatan Akuntan Indonesia (IAI) sebagai organisasi akuntan berusaha untuk menekankan pembeda antara kedua jenis t</w:t>
      </w:r>
      <w:r>
        <w:rPr>
          <w:rFonts w:ascii="Times New Roman" w:eastAsia="Times New Roman" w:hAnsi="Times New Roman" w:cs="Times New Roman"/>
          <w:sz w:val="24"/>
          <w:szCs w:val="24"/>
        </w:rPr>
        <w:t>ransaksi (transaksi pendapatan dan transaksi utang piutang), dimana pentingnya sebuah perusahaan untuk menciptakan substansi komersial dalam transaksi yang jelas dengan mengadopsi IFRS 15 menjadi PSAK 72. Diharapkan dengan mengadopsi IFRS 15 organisasi ata</w:t>
      </w:r>
      <w:r>
        <w:rPr>
          <w:rFonts w:ascii="Times New Roman" w:eastAsia="Times New Roman" w:hAnsi="Times New Roman" w:cs="Times New Roman"/>
          <w:sz w:val="24"/>
          <w:szCs w:val="24"/>
        </w:rPr>
        <w:t>u perusahaan dapat meyakini publik atau masyarakat bahwa perusahaan tersebut merupakan suatu entitas yang sah serta layak untuk didukung.</w:t>
      </w:r>
    </w:p>
    <w:p w:rsidR="00774682" w:rsidRDefault="00774682">
      <w:pPr>
        <w:spacing w:line="240" w:lineRule="auto"/>
        <w:ind w:right="2"/>
        <w:jc w:val="both"/>
        <w:rPr>
          <w:rFonts w:ascii="Times New Roman" w:eastAsia="Times New Roman" w:hAnsi="Times New Roman" w:cs="Times New Roman"/>
          <w:sz w:val="24"/>
          <w:szCs w:val="24"/>
        </w:rPr>
      </w:pPr>
    </w:p>
    <w:p w:rsidR="00774682" w:rsidRDefault="00A117D1">
      <w:pPr>
        <w:spacing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PSAK 72: Pendapatan dari Kontrak dengan Pelanggan</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PSAK 72 merupakan standar akuntansi yang mengatur pengakuan pendapa</w:t>
      </w:r>
      <w:r>
        <w:rPr>
          <w:rFonts w:ascii="Times New Roman" w:eastAsia="Times New Roman" w:hAnsi="Times New Roman" w:cs="Times New Roman"/>
          <w:sz w:val="24"/>
          <w:szCs w:val="24"/>
        </w:rPr>
        <w:t xml:space="preserve">tan dari kontrak dengan pelanggan. Standar ini mengharuskan entitas untuk mengidentifikasi kontrak dengan pelanggan, menentukan harga transaksi, mengalokasikan harga transaksi ke kewajiban kinerja, mengakui pendapatan saat kewajiban kinerja terpenuhi, dan </w:t>
      </w:r>
      <w:r>
        <w:rPr>
          <w:rFonts w:ascii="Times New Roman" w:eastAsia="Times New Roman" w:hAnsi="Times New Roman" w:cs="Times New Roman"/>
          <w:sz w:val="24"/>
          <w:szCs w:val="24"/>
        </w:rPr>
        <w:t>mengungkapkan informasi yang relevan mengenali kontrak dengan pelanggan (Ikatan Akuntan Indonesia, 2020). Implementasi PSAK 72 dapat memiliki dampak signifikan terhadap laporan keuangan dan kinerja keuangan perusahaan.</w:t>
      </w:r>
    </w:p>
    <w:p w:rsidR="00774682" w:rsidRDefault="00774682">
      <w:pPr>
        <w:spacing w:line="240" w:lineRule="auto"/>
        <w:ind w:right="2" w:firstLine="567"/>
        <w:jc w:val="both"/>
        <w:rPr>
          <w:rFonts w:ascii="Times New Roman" w:eastAsia="Times New Roman" w:hAnsi="Times New Roman" w:cs="Times New Roman"/>
          <w:sz w:val="24"/>
          <w:szCs w:val="24"/>
        </w:rPr>
      </w:pP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Rasio Likuiditas</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Rasio likuiditas me</w:t>
      </w:r>
      <w:r>
        <w:rPr>
          <w:rFonts w:ascii="Times New Roman" w:eastAsia="Times New Roman" w:hAnsi="Times New Roman" w:cs="Times New Roman"/>
          <w:sz w:val="24"/>
          <w:szCs w:val="24"/>
        </w:rPr>
        <w:t xml:space="preserve">ngukur kemampuan perusahaan untuk memenuhi kewajiban finansial jangka pendeknya. Rasio ini dapat diukur dengan menggunakan </w:t>
      </w:r>
      <w:r>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Quick Ratio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xml:space="preserve"> mengukur kemampuan perusahaan untuk membayar kewajiban jangka pendeknya dengan menggunak</w:t>
      </w:r>
      <w:r>
        <w:rPr>
          <w:rFonts w:ascii="Times New Roman" w:eastAsia="Times New Roman" w:hAnsi="Times New Roman" w:cs="Times New Roman"/>
          <w:sz w:val="24"/>
          <w:szCs w:val="24"/>
        </w:rPr>
        <w:t xml:space="preserve">an aset lancar, sedangkan </w:t>
      </w:r>
      <w:r>
        <w:rPr>
          <w:rFonts w:ascii="Times New Roman" w:eastAsia="Times New Roman" w:hAnsi="Times New Roman" w:cs="Times New Roman"/>
          <w:i/>
          <w:sz w:val="24"/>
          <w:szCs w:val="24"/>
        </w:rPr>
        <w:t>Quick Ratio</w:t>
      </w:r>
      <w:r>
        <w:rPr>
          <w:rFonts w:ascii="Times New Roman" w:eastAsia="Times New Roman" w:hAnsi="Times New Roman" w:cs="Times New Roman"/>
          <w:sz w:val="24"/>
          <w:szCs w:val="24"/>
        </w:rPr>
        <w:t xml:space="preserve"> mengukur kemampuan perusahaan untuk membayar kewajiban jangka pendeknya dengan menggunakan aset lancar yang paling likuid. Rasio likuiditas yang tinggi menunjukkan bahwa perusahaan memiliki kemampuan yang balik untuk m</w:t>
      </w:r>
      <w:r>
        <w:rPr>
          <w:rFonts w:ascii="Times New Roman" w:eastAsia="Times New Roman" w:hAnsi="Times New Roman" w:cs="Times New Roman"/>
          <w:sz w:val="24"/>
          <w:szCs w:val="24"/>
        </w:rPr>
        <w:t>emenuhi kewajiban finansial jangka pendeknya.</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xml:space="preserve"> penting karena memberikan gambaran tentang kemampuan suatu perusahaan untuk memenuhi kewajiban finansial jangka pendeknya dengan menggunakan aset lancar yang dimilikinya. </w:t>
      </w:r>
      <w:r>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xml:space="preserve"> yang tinggi</w:t>
      </w:r>
      <w:r>
        <w:rPr>
          <w:rFonts w:ascii="Times New Roman" w:eastAsia="Times New Roman" w:hAnsi="Times New Roman" w:cs="Times New Roman"/>
          <w:sz w:val="24"/>
          <w:szCs w:val="24"/>
        </w:rPr>
        <w:t xml:space="preserve"> menunjukkan bahwa perusahaan memiliki kemampuan yang balik untuk membayar kewajiban jangka pendeknya dengan aset lancar yang dimilikinya.</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w:t>
      </w:r>
      <w:r>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xml:space="preserve"> juga membantu mengukur kesehatan keuangan perusahaan dengan memberikan indikasi seberapa ba</w:t>
      </w:r>
      <w:r>
        <w:rPr>
          <w:rFonts w:ascii="Times New Roman" w:eastAsia="Times New Roman" w:hAnsi="Times New Roman" w:cs="Times New Roman"/>
          <w:sz w:val="24"/>
          <w:szCs w:val="24"/>
        </w:rPr>
        <w:t xml:space="preserve">ik perusahaan dapat memenuhi kewajiban jangka pendeknya dalam jangka waktu satu tahun. Perusahaan dengan </w:t>
      </w:r>
      <w:r>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xml:space="preserve"> yang sehat cenderung dianggap lebih dapat diandalkan oleh pihak eksternal, seperti investor, kreditur, dan pemasok, karena memiliki kemam</w:t>
      </w:r>
      <w:r>
        <w:rPr>
          <w:rFonts w:ascii="Times New Roman" w:eastAsia="Times New Roman" w:hAnsi="Times New Roman" w:cs="Times New Roman"/>
          <w:sz w:val="24"/>
          <w:szCs w:val="24"/>
        </w:rPr>
        <w:t xml:space="preserve">puan yang baik dalam memenuhi kewajiban keuangannya. </w:t>
      </w:r>
      <w:r>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xml:space="preserve"> yang sehat juga penting untuk menjaga kelancaran operasional perusahaan, karena menunjukkan bahwa perusahaan memiliki cukup likuiditas untuk menjaga operasionalnya berjalan tanpa terganggu oleh kewajiban jangka pendek yang harus segera dibayar. Dengan mem</w:t>
      </w:r>
      <w:r>
        <w:rPr>
          <w:rFonts w:ascii="Times New Roman" w:eastAsia="Times New Roman" w:hAnsi="Times New Roman" w:cs="Times New Roman"/>
          <w:sz w:val="24"/>
          <w:szCs w:val="24"/>
        </w:rPr>
        <w:t xml:space="preserve">antau </w:t>
      </w:r>
      <w:r>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xml:space="preserve"> secara teratur, manajemen dapat mengidentifikasi potensi risiko keuangan yang mungkin timbul dalam jangka pendek dan mengambil tindakan yang tepat untuk mengelola risiko tersebut.</w:t>
      </w:r>
    </w:p>
    <w:p w:rsidR="00774682" w:rsidRDefault="00774682">
      <w:pPr>
        <w:spacing w:line="240" w:lineRule="auto"/>
        <w:ind w:right="2"/>
        <w:jc w:val="both"/>
        <w:rPr>
          <w:rFonts w:ascii="Times New Roman" w:eastAsia="Times New Roman" w:hAnsi="Times New Roman" w:cs="Times New Roman"/>
          <w:sz w:val="24"/>
          <w:szCs w:val="24"/>
        </w:rPr>
      </w:pP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Rasio Solvabilitas</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Rasio solvabilitas mengukur kemampua</w:t>
      </w:r>
      <w:r>
        <w:rPr>
          <w:rFonts w:ascii="Times New Roman" w:eastAsia="Times New Roman" w:hAnsi="Times New Roman" w:cs="Times New Roman"/>
          <w:sz w:val="24"/>
          <w:szCs w:val="24"/>
        </w:rPr>
        <w:t xml:space="preserve">n perusahaan untuk memenuhi kewajiban finansial jangka panjangnya. Rasio ini dapat diukur dengan menggunakan </w:t>
      </w:r>
      <w:r>
        <w:rPr>
          <w:rFonts w:ascii="Times New Roman" w:eastAsia="Times New Roman" w:hAnsi="Times New Roman" w:cs="Times New Roman"/>
          <w:i/>
          <w:sz w:val="24"/>
          <w:szCs w:val="24"/>
        </w:rPr>
        <w:t>Debt to Equity Ratio</w:t>
      </w:r>
      <w:r>
        <w:rPr>
          <w:rFonts w:ascii="Times New Roman" w:eastAsia="Times New Roman" w:hAnsi="Times New Roman" w:cs="Times New Roman"/>
          <w:sz w:val="24"/>
          <w:szCs w:val="24"/>
        </w:rPr>
        <w:t xml:space="preserve"> (DER) dan </w:t>
      </w:r>
      <w:r>
        <w:rPr>
          <w:rFonts w:ascii="Times New Roman" w:eastAsia="Times New Roman" w:hAnsi="Times New Roman" w:cs="Times New Roman"/>
          <w:i/>
          <w:sz w:val="24"/>
          <w:szCs w:val="24"/>
        </w:rPr>
        <w:t>Debt to Asset Ratio</w:t>
      </w:r>
      <w:r>
        <w:rPr>
          <w:rFonts w:ascii="Times New Roman" w:eastAsia="Times New Roman" w:hAnsi="Times New Roman" w:cs="Times New Roman"/>
          <w:sz w:val="24"/>
          <w:szCs w:val="24"/>
        </w:rPr>
        <w:t>. DER mengukur proporsi dana yang diberikan oleh kreditor terhadap dana yang diberikan oleh pemeg</w:t>
      </w:r>
      <w:r>
        <w:rPr>
          <w:rFonts w:ascii="Times New Roman" w:eastAsia="Times New Roman" w:hAnsi="Times New Roman" w:cs="Times New Roman"/>
          <w:sz w:val="24"/>
          <w:szCs w:val="24"/>
        </w:rPr>
        <w:t xml:space="preserve">ang saham. Sedangkan </w:t>
      </w:r>
      <w:r>
        <w:rPr>
          <w:rFonts w:ascii="Times New Roman" w:eastAsia="Times New Roman" w:hAnsi="Times New Roman" w:cs="Times New Roman"/>
          <w:i/>
          <w:sz w:val="24"/>
          <w:szCs w:val="24"/>
        </w:rPr>
        <w:t>Debt to Asset Ratio</w:t>
      </w:r>
      <w:r>
        <w:rPr>
          <w:rFonts w:ascii="Times New Roman" w:eastAsia="Times New Roman" w:hAnsi="Times New Roman" w:cs="Times New Roman"/>
          <w:sz w:val="24"/>
          <w:szCs w:val="24"/>
        </w:rPr>
        <w:t xml:space="preserve"> mengukur proporsi total utang perusahaan terhadap total aset. Rasio solvabilitas yang tinggi menunjukkan bahwa perusahaan memiliki kemampuan yang baik untuk membayar kewajiban finansialnya.</w:t>
      </w:r>
    </w:p>
    <w:p w:rsidR="00774682" w:rsidRDefault="00774682">
      <w:pPr>
        <w:spacing w:line="240" w:lineRule="auto"/>
        <w:ind w:right="2" w:firstLine="567"/>
        <w:jc w:val="both"/>
        <w:rPr>
          <w:rFonts w:ascii="Times New Roman" w:eastAsia="Times New Roman" w:hAnsi="Times New Roman" w:cs="Times New Roman"/>
          <w:sz w:val="24"/>
          <w:szCs w:val="24"/>
        </w:rPr>
      </w:pP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Rasio Profitabilitas</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w:t>
      </w:r>
      <w:r>
        <w:rPr>
          <w:rFonts w:ascii="Times New Roman" w:eastAsia="Times New Roman" w:hAnsi="Times New Roman" w:cs="Times New Roman"/>
          <w:sz w:val="24"/>
          <w:szCs w:val="24"/>
        </w:rPr>
        <w:t xml:space="preserve">io profitabilitas mengukur kemampuan perusahaan untuk menghasilkan laba dari operasinya. Beberapa rasio profitabilitas yang umum digunakan adalah </w:t>
      </w:r>
      <w:r>
        <w:rPr>
          <w:rFonts w:ascii="Times New Roman" w:eastAsia="Times New Roman" w:hAnsi="Times New Roman" w:cs="Times New Roman"/>
          <w:i/>
          <w:sz w:val="24"/>
          <w:szCs w:val="24"/>
        </w:rPr>
        <w:t>Return on Assets</w:t>
      </w:r>
      <w:r>
        <w:rPr>
          <w:rFonts w:ascii="Times New Roman" w:eastAsia="Times New Roman" w:hAnsi="Times New Roman" w:cs="Times New Roman"/>
          <w:sz w:val="24"/>
          <w:szCs w:val="24"/>
        </w:rPr>
        <w:t xml:space="preserve"> (ROA) daln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(ROE). ROA mengukur efisiensi perusahaan dalam menggunakan asetny</w:t>
      </w:r>
      <w:r>
        <w:rPr>
          <w:rFonts w:ascii="Times New Roman" w:eastAsia="Times New Roman" w:hAnsi="Times New Roman" w:cs="Times New Roman"/>
          <w:sz w:val="24"/>
          <w:szCs w:val="24"/>
        </w:rPr>
        <w:t>a untuk menghasilkan laba, sedangkan ROE mengukur tingkat pengembalian investasi yang diberikan kepada pemegang saham. Rasio profitabilitas yang tinggi menunjukkan bahwa perusahaan mampu menghasilkan laba yang baik dari operasinya.</w:t>
      </w:r>
    </w:p>
    <w:p w:rsidR="00774682" w:rsidRDefault="00774682">
      <w:pPr>
        <w:spacing w:line="240" w:lineRule="auto"/>
        <w:ind w:right="2"/>
        <w:jc w:val="both"/>
        <w:rPr>
          <w:rFonts w:ascii="Times New Roman" w:eastAsia="Times New Roman" w:hAnsi="Times New Roman" w:cs="Times New Roman"/>
          <w:sz w:val="24"/>
          <w:szCs w:val="24"/>
        </w:rPr>
      </w:pP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Pengembangan Hipotesis</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Veronica, dkk (2019) melakukan penelitian yang menghasilkan kesimpulan bahwa pengimplementalsian PSAK 72 memberi pengaruh terhadap Current Ratio. Pengakuan dan pencatatan pendapatan berdasarkan PSAK 72 akan lebih rendah jika dibandingkan dengan PSAK 44. Ha</w:t>
      </w:r>
      <w:r>
        <w:rPr>
          <w:rFonts w:ascii="Times New Roman" w:eastAsia="Times New Roman" w:hAnsi="Times New Roman" w:cs="Times New Roman"/>
          <w:sz w:val="24"/>
          <w:szCs w:val="24"/>
        </w:rPr>
        <w:t>l tersebut dikarenakan tidak adanya pengakuan nilai kas/bank perusahaan yang berasal dari pendapatan kontrak jangka panjang. Merujuk kepada hal-hal diatas, maka diajukan hipotesis pertama:</w:t>
      </w:r>
    </w:p>
    <w:p w:rsidR="00774682" w:rsidRDefault="00A117D1">
      <w:pPr>
        <w:spacing w:line="240" w:lineRule="auto"/>
        <w:ind w:right="2"/>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H1: Implementasi PSAK 72 berpengaruh signifikan terhadap </w:t>
      </w:r>
      <w:r>
        <w:rPr>
          <w:rFonts w:ascii="Times New Roman" w:eastAsia="Times New Roman" w:hAnsi="Times New Roman" w:cs="Times New Roman"/>
          <w:b/>
          <w:i/>
          <w:sz w:val="24"/>
          <w:szCs w:val="24"/>
        </w:rPr>
        <w:t>Current Ra</w:t>
      </w:r>
      <w:r>
        <w:rPr>
          <w:rFonts w:ascii="Times New Roman" w:eastAsia="Times New Roman" w:hAnsi="Times New Roman" w:cs="Times New Roman"/>
          <w:b/>
          <w:i/>
          <w:sz w:val="24"/>
          <w:szCs w:val="24"/>
        </w:rPr>
        <w:t>tio.</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penelitian terdahulu yang dilakukan oleh Mashuri &amp; Sari (2021) menunjukkan penerapan PSAK 72 mengakibatkan ROE dan ROA mengalami penurunan. Hall in disebabkan karena adanya pertambahan nilai aset sewa dalam laporan posisi keuangan perusahaan. Be</w:t>
      </w:r>
      <w:r>
        <w:rPr>
          <w:rFonts w:ascii="Times New Roman" w:eastAsia="Times New Roman" w:hAnsi="Times New Roman" w:cs="Times New Roman"/>
          <w:sz w:val="24"/>
          <w:szCs w:val="24"/>
        </w:rPr>
        <w:t>rdasarkan penjelasan diatas, maka hipotesis yang akan diuji yaitu:</w:t>
      </w:r>
    </w:p>
    <w:p w:rsidR="00774682" w:rsidRDefault="00A117D1">
      <w:pPr>
        <w:spacing w:line="240" w:lineRule="auto"/>
        <w:ind w:right="2"/>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H2: Implementasi PSAK 72 berpengaruh signifikan terhadap </w:t>
      </w:r>
      <w:r>
        <w:rPr>
          <w:rFonts w:ascii="Times New Roman" w:eastAsia="Times New Roman" w:hAnsi="Times New Roman" w:cs="Times New Roman"/>
          <w:b/>
          <w:i/>
          <w:sz w:val="24"/>
          <w:szCs w:val="24"/>
        </w:rPr>
        <w:t>Return on Equity.</w:t>
      </w:r>
    </w:p>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penelitian Rahayu (2021) menunjukkan bahwa </w:t>
      </w:r>
      <w:r>
        <w:rPr>
          <w:rFonts w:ascii="Times New Roman" w:eastAsia="Times New Roman" w:hAnsi="Times New Roman" w:cs="Times New Roman"/>
          <w:i/>
          <w:sz w:val="24"/>
          <w:szCs w:val="24"/>
        </w:rPr>
        <w:t xml:space="preserve">Debt to Asset Ratio </w:t>
      </w:r>
      <w:r>
        <w:rPr>
          <w:rFonts w:ascii="Times New Roman" w:eastAsia="Times New Roman" w:hAnsi="Times New Roman" w:cs="Times New Roman"/>
          <w:sz w:val="24"/>
          <w:szCs w:val="24"/>
        </w:rPr>
        <w:t>mengalami peningkatan persentase jika menggun</w:t>
      </w:r>
      <w:r>
        <w:rPr>
          <w:rFonts w:ascii="Times New Roman" w:eastAsia="Times New Roman" w:hAnsi="Times New Roman" w:cs="Times New Roman"/>
          <w:sz w:val="24"/>
          <w:szCs w:val="24"/>
        </w:rPr>
        <w:t xml:space="preserve">akan PSAK 72. Hal ini dikarenakan nilai aset perusahaan menjadi lebih kecil apabila diakui sesuai PSAK 72. Berdasarkan hasil paparan diatas, maka hipotesis ketiga diajukan: </w:t>
      </w: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H3: Implementasi PSAK 72 berpengaruh signifikan terhadap </w:t>
      </w:r>
      <w:r>
        <w:rPr>
          <w:rFonts w:ascii="Times New Roman" w:eastAsia="Times New Roman" w:hAnsi="Times New Roman" w:cs="Times New Roman"/>
          <w:b/>
          <w:i/>
          <w:sz w:val="24"/>
          <w:szCs w:val="24"/>
        </w:rPr>
        <w:t>Debt to Asset Ratio</w:t>
      </w:r>
      <w:r>
        <w:rPr>
          <w:rFonts w:ascii="Times New Roman" w:eastAsia="Times New Roman" w:hAnsi="Times New Roman" w:cs="Times New Roman"/>
          <w:b/>
          <w:sz w:val="24"/>
          <w:szCs w:val="24"/>
        </w:rPr>
        <w:t>.</w:t>
      </w:r>
    </w:p>
    <w:p w:rsidR="00774682" w:rsidRDefault="00774682">
      <w:pPr>
        <w:spacing w:line="240" w:lineRule="auto"/>
        <w:ind w:right="2"/>
        <w:rPr>
          <w:rFonts w:ascii="Times New Roman" w:eastAsia="Times New Roman" w:hAnsi="Times New Roman" w:cs="Times New Roman"/>
          <w:sz w:val="24"/>
          <w:szCs w:val="24"/>
        </w:rPr>
      </w:pPr>
    </w:p>
    <w:p w:rsidR="00774682" w:rsidRDefault="00A117D1">
      <w:pPr>
        <w:spacing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w:t>
      </w:r>
      <w:r>
        <w:rPr>
          <w:rFonts w:ascii="Times New Roman" w:eastAsia="Times New Roman" w:hAnsi="Times New Roman" w:cs="Times New Roman"/>
          <w:b/>
          <w:sz w:val="24"/>
          <w:szCs w:val="24"/>
        </w:rPr>
        <w:t>ODE PENELITIAN</w:t>
      </w:r>
    </w:p>
    <w:p w:rsidR="00774682" w:rsidRDefault="00A117D1">
      <w:pPr>
        <w:spacing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Data, Populasi dan Sampel</w:t>
      </w:r>
    </w:p>
    <w:p w:rsidR="00774682" w:rsidRDefault="00A117D1">
      <w:pPr>
        <w:spacing w:line="240" w:lineRule="auto"/>
        <w:ind w:right="2"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menggunakan pendekatan kuantitatif dengan desain penelitian studi kasus. Studi kasus dipilih karena memungkinkan peneliti untuk mendalam dalam menganalisis pengaruh implementasi PSAK 72 terhadap k</w:t>
      </w:r>
      <w:r>
        <w:rPr>
          <w:rFonts w:ascii="Times New Roman" w:eastAsia="Times New Roman" w:hAnsi="Times New Roman" w:cs="Times New Roman"/>
          <w:sz w:val="24"/>
          <w:szCs w:val="24"/>
        </w:rPr>
        <w:t>inerja keuangan perusahaan sektor infrastruktur di Indonesia.</w:t>
      </w:r>
    </w:p>
    <w:p w:rsidR="00774682" w:rsidRDefault="00A117D1">
      <w:pPr>
        <w:spacing w:line="240" w:lineRule="auto"/>
        <w:ind w:right="2"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Populasi penelitian ini adalah semua perusahaan sektor infrastruktur yang terdaftar di Bursa Efek Indonesia (BEI). Sampel penelitian ini terdiri dari 25 perusahaan sektor infrastruktur yang dipi</w:t>
      </w:r>
      <w:r>
        <w:rPr>
          <w:rFonts w:ascii="Times New Roman" w:eastAsia="Times New Roman" w:hAnsi="Times New Roman" w:cs="Times New Roman"/>
          <w:sz w:val="24"/>
          <w:szCs w:val="24"/>
        </w:rPr>
        <w:t>lih secara purposif dengan mengambil laporan keuangan tahunan dari tahun 2019 hingga 2020. Adapun kriteria-kriteria yang akan digunakan adalah sebagai berikut:</w:t>
      </w:r>
    </w:p>
    <w:p w:rsidR="00774682" w:rsidRDefault="00A117D1">
      <w:pPr>
        <w:numPr>
          <w:ilvl w:val="0"/>
          <w:numId w:val="3"/>
        </w:numPr>
        <w:spacing w:line="240" w:lineRule="auto"/>
        <w:ind w:left="284" w:right="2"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Sampel terdiri dari perusahaan yang terdaftar di Bursa Efek Indonesia (BEI) dan beroperasi di sektor infrastruktur, termasuk pembangunan jalan raya, jembatan, bandara, pelabuhan, dan proyek infrastruktur lainnya.</w:t>
      </w:r>
    </w:p>
    <w:p w:rsidR="00774682" w:rsidRDefault="00A117D1">
      <w:pPr>
        <w:numPr>
          <w:ilvl w:val="0"/>
          <w:numId w:val="3"/>
        </w:numPr>
        <w:spacing w:line="240" w:lineRule="auto"/>
        <w:ind w:left="284" w:right="2"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Periode Laporan Keuangan: Laporan keuangan </w:t>
      </w:r>
      <w:r>
        <w:rPr>
          <w:rFonts w:ascii="Times New Roman" w:eastAsia="Times New Roman" w:hAnsi="Times New Roman" w:cs="Times New Roman"/>
          <w:sz w:val="24"/>
          <w:szCs w:val="24"/>
        </w:rPr>
        <w:t>yang digunakan adalah laporan keuangan tahunan perusahaan untuk periode tahun 2019 hingga 2020.</w:t>
      </w:r>
    </w:p>
    <w:p w:rsidR="00774682" w:rsidRDefault="00A117D1">
      <w:pPr>
        <w:numPr>
          <w:ilvl w:val="0"/>
          <w:numId w:val="3"/>
        </w:numPr>
        <w:spacing w:line="240" w:lineRule="auto"/>
        <w:ind w:left="284" w:right="2"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mengenali variabel-variabel yang akan diteliti tersedia dan lengkap dalam laporan keuangan tahunan perusahaan pada tahun 2019-2020.</w:t>
      </w:r>
    </w:p>
    <w:p w:rsidR="00774682" w:rsidRDefault="00A117D1">
      <w:pPr>
        <w:spacing w:line="240" w:lineRule="auto"/>
        <w:ind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1. Kriteria Sampe</w:t>
      </w:r>
      <w:r>
        <w:rPr>
          <w:rFonts w:ascii="Times New Roman" w:eastAsia="Times New Roman" w:hAnsi="Times New Roman" w:cs="Times New Roman"/>
          <w:b/>
          <w:sz w:val="24"/>
          <w:szCs w:val="24"/>
        </w:rPr>
        <w:t>l Penelitian</w:t>
      </w:r>
    </w:p>
    <w:tbl>
      <w:tblPr>
        <w:tblStyle w:val="a"/>
        <w:tblW w:w="3893" w:type="dxa"/>
        <w:tblBorders>
          <w:top w:val="single" w:sz="8" w:space="0" w:color="000000"/>
          <w:bottom w:val="single" w:sz="8" w:space="0" w:color="000000"/>
          <w:insideH w:val="single" w:sz="8" w:space="0" w:color="000000"/>
        </w:tblBorders>
        <w:tblLayout w:type="fixed"/>
        <w:tblLook w:val="0600" w:firstRow="0" w:lastRow="0" w:firstColumn="0" w:lastColumn="0" w:noHBand="1" w:noVBand="1"/>
      </w:tblPr>
      <w:tblGrid>
        <w:gridCol w:w="2693"/>
        <w:gridCol w:w="1200"/>
      </w:tblGrid>
      <w:tr w:rsidR="00774682">
        <w:tc>
          <w:tcPr>
            <w:tcW w:w="2693" w:type="dxa"/>
            <w:shd w:val="clear" w:color="auto" w:fill="auto"/>
            <w:tcMar>
              <w:top w:w="100" w:type="dxa"/>
              <w:left w:w="100" w:type="dxa"/>
              <w:bottom w:w="100" w:type="dxa"/>
              <w:right w:w="100" w:type="dxa"/>
            </w:tcMar>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Kriterial Salmpel</w:t>
            </w:r>
          </w:p>
        </w:tc>
        <w:tc>
          <w:tcPr>
            <w:tcW w:w="1200" w:type="dxa"/>
            <w:shd w:val="clear" w:color="auto" w:fill="auto"/>
            <w:tcMar>
              <w:top w:w="100" w:type="dxa"/>
              <w:left w:w="100" w:type="dxa"/>
              <w:bottom w:w="100" w:type="dxa"/>
              <w:right w:w="100" w:type="dxa"/>
            </w:tcMar>
          </w:tcPr>
          <w:p w:rsidR="00774682" w:rsidRDefault="00A117D1">
            <w:pPr>
              <w:spacing w:line="240" w:lineRule="auto"/>
              <w:ind w:right="2"/>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Daltal Perusalhalaln</w:t>
            </w:r>
          </w:p>
        </w:tc>
      </w:tr>
      <w:tr w:rsidR="00774682">
        <w:tc>
          <w:tcPr>
            <w:tcW w:w="2693" w:type="dxa"/>
            <w:shd w:val="clear" w:color="auto" w:fill="auto"/>
            <w:tcMar>
              <w:top w:w="100" w:type="dxa"/>
              <w:left w:w="100" w:type="dxa"/>
              <w:bottom w:w="100" w:type="dxa"/>
              <w:right w:w="100" w:type="dxa"/>
            </w:tcMar>
          </w:tcPr>
          <w:p w:rsidR="00774682" w:rsidRDefault="00A117D1">
            <w:pPr>
              <w:widowControl w:val="0"/>
              <w:spacing w:line="240" w:lineRule="auto"/>
              <w:ind w:right="2"/>
              <w:rPr>
                <w:rFonts w:ascii="Times New Roman" w:eastAsia="Times New Roman" w:hAnsi="Times New Roman" w:cs="Times New Roman"/>
                <w:sz w:val="16"/>
                <w:szCs w:val="16"/>
              </w:rPr>
            </w:pPr>
            <w:r>
              <w:rPr>
                <w:rFonts w:ascii="Times New Roman" w:eastAsia="Times New Roman" w:hAnsi="Times New Roman" w:cs="Times New Roman"/>
                <w:color w:val="0D0D0D"/>
                <w:sz w:val="16"/>
                <w:szCs w:val="16"/>
                <w:highlight w:val="white"/>
              </w:rPr>
              <w:t>Perusa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ha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n sektor infra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struktur ta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hun 2019 - 2020</w:t>
            </w:r>
          </w:p>
        </w:tc>
        <w:tc>
          <w:tcPr>
            <w:tcW w:w="1200" w:type="dxa"/>
            <w:shd w:val="clear" w:color="auto" w:fill="auto"/>
            <w:tcMar>
              <w:top w:w="100" w:type="dxa"/>
              <w:left w:w="100" w:type="dxa"/>
              <w:bottom w:w="100" w:type="dxa"/>
              <w:right w:w="100" w:type="dxa"/>
            </w:tcMar>
          </w:tcPr>
          <w:p w:rsidR="00774682" w:rsidRDefault="00A117D1">
            <w:pPr>
              <w:widowControl w:val="0"/>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tc>
      </w:tr>
      <w:tr w:rsidR="00774682">
        <w:tc>
          <w:tcPr>
            <w:tcW w:w="2693" w:type="dxa"/>
            <w:shd w:val="clear" w:color="auto" w:fill="auto"/>
            <w:tcMar>
              <w:top w:w="100" w:type="dxa"/>
              <w:left w:w="100" w:type="dxa"/>
              <w:bottom w:w="100" w:type="dxa"/>
              <w:right w:w="100" w:type="dxa"/>
            </w:tcMar>
          </w:tcPr>
          <w:p w:rsidR="00774682" w:rsidRDefault="00A117D1">
            <w:pPr>
              <w:widowControl w:val="0"/>
              <w:spacing w:line="240" w:lineRule="auto"/>
              <w:ind w:right="2"/>
              <w:rPr>
                <w:rFonts w:ascii="Times New Roman" w:eastAsia="Times New Roman" w:hAnsi="Times New Roman" w:cs="Times New Roman"/>
                <w:sz w:val="16"/>
                <w:szCs w:val="16"/>
              </w:rPr>
            </w:pPr>
            <w:r>
              <w:rPr>
                <w:rFonts w:ascii="Times New Roman" w:eastAsia="Times New Roman" w:hAnsi="Times New Roman" w:cs="Times New Roman"/>
                <w:sz w:val="16"/>
                <w:szCs w:val="16"/>
              </w:rPr>
              <w:t>Perusalhalaln sektor infralstruktur yalng mengallalmi delisting di BEI periode 2019-2020</w:t>
            </w:r>
          </w:p>
        </w:tc>
        <w:tc>
          <w:tcPr>
            <w:tcW w:w="1200" w:type="dxa"/>
            <w:shd w:val="clear" w:color="auto" w:fill="auto"/>
            <w:tcMar>
              <w:top w:w="100" w:type="dxa"/>
              <w:left w:w="100" w:type="dxa"/>
              <w:bottom w:w="100" w:type="dxa"/>
              <w:right w:w="100" w:type="dxa"/>
            </w:tcMar>
          </w:tcPr>
          <w:p w:rsidR="00774682" w:rsidRDefault="00A117D1">
            <w:pPr>
              <w:widowControl w:val="0"/>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774682">
        <w:tc>
          <w:tcPr>
            <w:tcW w:w="2693" w:type="dxa"/>
            <w:shd w:val="clear" w:color="auto" w:fill="auto"/>
            <w:tcMar>
              <w:top w:w="100" w:type="dxa"/>
              <w:left w:w="100" w:type="dxa"/>
              <w:bottom w:w="100" w:type="dxa"/>
              <w:right w:w="100" w:type="dxa"/>
            </w:tcMar>
          </w:tcPr>
          <w:p w:rsidR="00774682" w:rsidRDefault="00A117D1">
            <w:pPr>
              <w:widowControl w:val="0"/>
              <w:spacing w:line="240" w:lineRule="auto"/>
              <w:ind w:right="2"/>
              <w:rPr>
                <w:rFonts w:ascii="Times New Roman" w:eastAsia="Times New Roman" w:hAnsi="Times New Roman" w:cs="Times New Roman"/>
                <w:sz w:val="16"/>
                <w:szCs w:val="16"/>
              </w:rPr>
            </w:pPr>
            <w:r>
              <w:rPr>
                <w:rFonts w:ascii="Times New Roman" w:eastAsia="Times New Roman" w:hAnsi="Times New Roman" w:cs="Times New Roman"/>
                <w:sz w:val="16"/>
                <w:szCs w:val="16"/>
              </w:rPr>
              <w:t>Perusalhalaln yalng tidalk menyaljikaln daltal lengkalp paldal lalporaln keualngaln talhun 2019 - 2020</w:t>
            </w:r>
          </w:p>
        </w:tc>
        <w:tc>
          <w:tcPr>
            <w:tcW w:w="1200" w:type="dxa"/>
            <w:shd w:val="clear" w:color="auto" w:fill="auto"/>
            <w:tcMar>
              <w:top w:w="100" w:type="dxa"/>
              <w:left w:w="100" w:type="dxa"/>
              <w:bottom w:w="100" w:type="dxa"/>
              <w:right w:w="100" w:type="dxa"/>
            </w:tcMar>
          </w:tcPr>
          <w:p w:rsidR="00774682" w:rsidRDefault="00A117D1">
            <w:pPr>
              <w:widowControl w:val="0"/>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774682">
        <w:trPr>
          <w:trHeight w:val="49"/>
        </w:trPr>
        <w:tc>
          <w:tcPr>
            <w:tcW w:w="2693" w:type="dxa"/>
            <w:shd w:val="clear" w:color="auto" w:fill="auto"/>
            <w:tcMar>
              <w:top w:w="100" w:type="dxa"/>
              <w:left w:w="100" w:type="dxa"/>
              <w:bottom w:w="100" w:type="dxa"/>
              <w:right w:w="100" w:type="dxa"/>
            </w:tcMar>
          </w:tcPr>
          <w:p w:rsidR="00774682" w:rsidRDefault="00A117D1">
            <w:pPr>
              <w:widowControl w:val="0"/>
              <w:spacing w:line="240" w:lineRule="auto"/>
              <w:ind w:right="2"/>
              <w:rPr>
                <w:rFonts w:ascii="Times New Roman" w:eastAsia="Times New Roman" w:hAnsi="Times New Roman" w:cs="Times New Roman"/>
                <w:sz w:val="16"/>
                <w:szCs w:val="16"/>
              </w:rPr>
            </w:pPr>
            <w:r>
              <w:rPr>
                <w:rFonts w:ascii="Times New Roman" w:eastAsia="Times New Roman" w:hAnsi="Times New Roman" w:cs="Times New Roman"/>
                <w:color w:val="0D0D0D"/>
                <w:sz w:val="16"/>
                <w:szCs w:val="16"/>
                <w:highlight w:val="white"/>
              </w:rPr>
              <w:t>Tota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l perusa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ha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n ya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ng da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pa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t diguna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ka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n seba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ga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i sa</w:t>
            </w:r>
            <w:r>
              <w:rPr>
                <w:rFonts w:ascii="Times New Roman" w:eastAsia="Times New Roman" w:hAnsi="Times New Roman" w:cs="Times New Roman"/>
                <w:color w:val="0D0D0D"/>
                <w:sz w:val="16"/>
                <w:szCs w:val="16"/>
              </w:rPr>
              <w:t>l</w:t>
            </w:r>
            <w:r>
              <w:rPr>
                <w:rFonts w:ascii="Times New Roman" w:eastAsia="Times New Roman" w:hAnsi="Times New Roman" w:cs="Times New Roman"/>
                <w:color w:val="0D0D0D"/>
                <w:sz w:val="16"/>
                <w:szCs w:val="16"/>
                <w:highlight w:val="white"/>
              </w:rPr>
              <w:t>mpel</w:t>
            </w:r>
          </w:p>
        </w:tc>
        <w:tc>
          <w:tcPr>
            <w:tcW w:w="1200" w:type="dxa"/>
            <w:shd w:val="clear" w:color="auto" w:fill="auto"/>
            <w:tcMar>
              <w:top w:w="100" w:type="dxa"/>
              <w:left w:w="100" w:type="dxa"/>
              <w:bottom w:w="100" w:type="dxa"/>
              <w:right w:w="100" w:type="dxa"/>
            </w:tcMar>
          </w:tcPr>
          <w:p w:rsidR="00774682" w:rsidRDefault="00A117D1">
            <w:pPr>
              <w:widowControl w:val="0"/>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w:t>
            </w:r>
          </w:p>
        </w:tc>
      </w:tr>
    </w:tbl>
    <w:p w:rsidR="00774682" w:rsidRDefault="00774682">
      <w:pPr>
        <w:spacing w:line="240" w:lineRule="auto"/>
        <w:ind w:right="2"/>
        <w:rPr>
          <w:rFonts w:ascii="Times New Roman" w:eastAsia="Times New Roman" w:hAnsi="Times New Roman" w:cs="Times New Roman"/>
          <w:sz w:val="24"/>
          <w:szCs w:val="24"/>
        </w:rPr>
      </w:pPr>
    </w:p>
    <w:p w:rsidR="00774682" w:rsidRDefault="00A117D1">
      <w:pPr>
        <w:spacing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Operasional Variabel</w:t>
      </w:r>
    </w:p>
    <w:p w:rsidR="00774682" w:rsidRDefault="00A117D1">
      <w:pPr>
        <w:spacing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adalah tabel operasionalisasi variabel yang digunakan dalam penelitian ini:</w:t>
      </w:r>
    </w:p>
    <w:p w:rsidR="00774682" w:rsidRDefault="00A117D1">
      <w:pPr>
        <w:spacing w:line="240" w:lineRule="auto"/>
        <w:ind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2. Operasionalisasi Variabel</w:t>
      </w:r>
    </w:p>
    <w:tbl>
      <w:tblPr>
        <w:tblStyle w:val="a0"/>
        <w:tblW w:w="3827" w:type="dxa"/>
        <w:tblBorders>
          <w:top w:val="single" w:sz="8" w:space="0" w:color="000000"/>
          <w:bottom w:val="single" w:sz="8" w:space="0" w:color="000000"/>
          <w:insideH w:val="single" w:sz="8" w:space="0" w:color="000000"/>
        </w:tblBorders>
        <w:tblLayout w:type="fixed"/>
        <w:tblLook w:val="0600" w:firstRow="0" w:lastRow="0" w:firstColumn="0" w:lastColumn="0" w:noHBand="1" w:noVBand="1"/>
      </w:tblPr>
      <w:tblGrid>
        <w:gridCol w:w="1218"/>
        <w:gridCol w:w="1218"/>
        <w:gridCol w:w="1391"/>
      </w:tblGrid>
      <w:tr w:rsidR="00774682">
        <w:tc>
          <w:tcPr>
            <w:tcW w:w="1219" w:type="dxa"/>
            <w:shd w:val="clear" w:color="auto" w:fill="auto"/>
            <w:tcMar>
              <w:top w:w="100" w:type="dxa"/>
              <w:left w:w="100" w:type="dxa"/>
              <w:bottom w:w="100" w:type="dxa"/>
              <w:right w:w="100" w:type="dxa"/>
            </w:tcMar>
          </w:tcPr>
          <w:p w:rsidR="00774682" w:rsidRDefault="00A117D1">
            <w:pPr>
              <w:widowControl w:val="0"/>
              <w:pBdr>
                <w:top w:val="nil"/>
                <w:left w:val="nil"/>
                <w:bottom w:val="nil"/>
                <w:right w:val="nil"/>
                <w:between w:val="nil"/>
              </w:pBdr>
              <w:spacing w:line="240" w:lineRule="auto"/>
              <w:ind w:right="2"/>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Variabel</w:t>
            </w:r>
          </w:p>
        </w:tc>
        <w:tc>
          <w:tcPr>
            <w:tcW w:w="1218" w:type="dxa"/>
            <w:shd w:val="clear" w:color="auto" w:fill="auto"/>
            <w:tcMar>
              <w:top w:w="100" w:type="dxa"/>
              <w:left w:w="100" w:type="dxa"/>
              <w:bottom w:w="100" w:type="dxa"/>
              <w:right w:w="100" w:type="dxa"/>
            </w:tcMar>
          </w:tcPr>
          <w:p w:rsidR="00774682" w:rsidRDefault="00A117D1">
            <w:pPr>
              <w:widowControl w:val="0"/>
              <w:pBdr>
                <w:top w:val="nil"/>
                <w:left w:val="nil"/>
                <w:bottom w:val="nil"/>
                <w:right w:val="nil"/>
                <w:between w:val="nil"/>
              </w:pBdr>
              <w:spacing w:line="240" w:lineRule="auto"/>
              <w:ind w:right="2"/>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Konsep</w:t>
            </w:r>
          </w:p>
        </w:tc>
        <w:tc>
          <w:tcPr>
            <w:tcW w:w="1391" w:type="dxa"/>
            <w:shd w:val="clear" w:color="auto" w:fill="auto"/>
            <w:tcMar>
              <w:top w:w="100" w:type="dxa"/>
              <w:left w:w="100" w:type="dxa"/>
              <w:bottom w:w="100" w:type="dxa"/>
              <w:right w:w="100" w:type="dxa"/>
            </w:tcMar>
          </w:tcPr>
          <w:p w:rsidR="00774682" w:rsidRDefault="00A117D1">
            <w:pPr>
              <w:widowControl w:val="0"/>
              <w:pBdr>
                <w:top w:val="nil"/>
                <w:left w:val="nil"/>
                <w:bottom w:val="nil"/>
                <w:right w:val="nil"/>
                <w:between w:val="nil"/>
              </w:pBdr>
              <w:spacing w:line="240" w:lineRule="auto"/>
              <w:ind w:right="2"/>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Indikator</w:t>
            </w:r>
          </w:p>
        </w:tc>
      </w:tr>
      <w:tr w:rsidR="00774682">
        <w:tc>
          <w:tcPr>
            <w:tcW w:w="1219" w:type="dxa"/>
            <w:shd w:val="clear" w:color="auto" w:fill="auto"/>
            <w:tcMar>
              <w:top w:w="100" w:type="dxa"/>
              <w:left w:w="100" w:type="dxa"/>
              <w:bottom w:w="100" w:type="dxa"/>
              <w:right w:w="100" w:type="dxa"/>
            </w:tcMar>
          </w:tcPr>
          <w:p w:rsidR="00774682" w:rsidRDefault="00A117D1">
            <w:pPr>
              <w:widowControl w:val="0"/>
              <w:pBdr>
                <w:top w:val="nil"/>
                <w:left w:val="nil"/>
                <w:bottom w:val="nil"/>
                <w:right w:val="nil"/>
                <w:between w:val="nil"/>
              </w:pBdr>
              <w:spacing w:line="240" w:lineRule="auto"/>
              <w:ind w:right="2"/>
              <w:rPr>
                <w:rFonts w:ascii="Times New Roman" w:eastAsia="Times New Roman" w:hAnsi="Times New Roman" w:cs="Times New Roman"/>
                <w:sz w:val="14"/>
                <w:szCs w:val="14"/>
              </w:rPr>
            </w:pPr>
            <w:r>
              <w:rPr>
                <w:rFonts w:ascii="Times New Roman" w:eastAsia="Times New Roman" w:hAnsi="Times New Roman" w:cs="Times New Roman"/>
                <w:sz w:val="14"/>
                <w:szCs w:val="14"/>
              </w:rPr>
              <w:t>Implementasi PSAK 72 (Y)</w:t>
            </w:r>
          </w:p>
        </w:tc>
        <w:tc>
          <w:tcPr>
            <w:tcW w:w="1218" w:type="dxa"/>
            <w:shd w:val="clear" w:color="auto" w:fill="auto"/>
            <w:tcMar>
              <w:top w:w="100" w:type="dxa"/>
              <w:left w:w="100" w:type="dxa"/>
              <w:bottom w:w="100" w:type="dxa"/>
              <w:right w:w="100" w:type="dxa"/>
            </w:tcMar>
          </w:tcPr>
          <w:p w:rsidR="00774682" w:rsidRDefault="00A117D1">
            <w:pPr>
              <w:widowControl w:val="0"/>
              <w:pBdr>
                <w:top w:val="nil"/>
                <w:left w:val="nil"/>
                <w:bottom w:val="nil"/>
                <w:right w:val="nil"/>
                <w:between w:val="nil"/>
              </w:pBdr>
              <w:spacing w:line="240" w:lineRule="auto"/>
              <w:ind w:right="2"/>
              <w:rPr>
                <w:rFonts w:ascii="Times New Roman" w:eastAsia="Times New Roman" w:hAnsi="Times New Roman" w:cs="Times New Roman"/>
                <w:sz w:val="14"/>
                <w:szCs w:val="14"/>
              </w:rPr>
            </w:pPr>
            <w:r>
              <w:rPr>
                <w:rFonts w:ascii="Times New Roman" w:eastAsia="Times New Roman" w:hAnsi="Times New Roman" w:cs="Times New Roman"/>
                <w:sz w:val="14"/>
                <w:szCs w:val="14"/>
              </w:rPr>
              <w:t>Adalnyal penerapan pendapatan dari kontrak dengan pelalnggan</w:t>
            </w:r>
          </w:p>
        </w:tc>
        <w:tc>
          <w:tcPr>
            <w:tcW w:w="1391" w:type="dxa"/>
            <w:shd w:val="clear" w:color="auto" w:fill="auto"/>
            <w:tcMar>
              <w:top w:w="100" w:type="dxa"/>
              <w:left w:w="100" w:type="dxa"/>
              <w:bottom w:w="100" w:type="dxa"/>
              <w:right w:w="100" w:type="dxa"/>
            </w:tcMar>
          </w:tcPr>
          <w:p w:rsidR="00774682" w:rsidRDefault="00A117D1">
            <w:pPr>
              <w:widowControl w:val="0"/>
              <w:pBdr>
                <w:top w:val="nil"/>
                <w:left w:val="nil"/>
                <w:bottom w:val="nil"/>
                <w:right w:val="nil"/>
                <w:between w:val="nil"/>
              </w:pBd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Dummy variabel </w:t>
            </w:r>
          </w:p>
          <w:p w:rsidR="00774682" w:rsidRDefault="00A117D1">
            <w:pPr>
              <w:widowControl w:val="0"/>
              <w:pBdr>
                <w:top w:val="nil"/>
                <w:left w:val="nil"/>
                <w:bottom w:val="nil"/>
                <w:right w:val="nil"/>
                <w:between w:val="nil"/>
              </w:pBd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 jika ada</w:t>
            </w:r>
          </w:p>
          <w:p w:rsidR="00774682" w:rsidRDefault="00A117D1">
            <w:pPr>
              <w:widowControl w:val="0"/>
              <w:pBdr>
                <w:top w:val="nil"/>
                <w:left w:val="nil"/>
                <w:bottom w:val="nil"/>
                <w:right w:val="nil"/>
                <w:between w:val="nil"/>
              </w:pBd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0 = jika tidak ada</w:t>
            </w:r>
          </w:p>
        </w:tc>
      </w:tr>
      <w:tr w:rsidR="00774682">
        <w:tc>
          <w:tcPr>
            <w:tcW w:w="1219" w:type="dxa"/>
            <w:shd w:val="clear" w:color="auto" w:fill="auto"/>
            <w:tcMar>
              <w:top w:w="100" w:type="dxa"/>
              <w:left w:w="100" w:type="dxa"/>
              <w:bottom w:w="100" w:type="dxa"/>
              <w:right w:w="100" w:type="dxa"/>
            </w:tcMar>
          </w:tcPr>
          <w:p w:rsidR="00774682" w:rsidRDefault="00A117D1">
            <w:pPr>
              <w:widowControl w:val="0"/>
              <w:pBdr>
                <w:top w:val="nil"/>
                <w:left w:val="nil"/>
                <w:bottom w:val="nil"/>
                <w:right w:val="nil"/>
                <w:between w:val="nil"/>
              </w:pBdr>
              <w:spacing w:line="240" w:lineRule="auto"/>
              <w:ind w:right="2"/>
              <w:rPr>
                <w:rFonts w:ascii="Times New Roman" w:eastAsia="Times New Roman" w:hAnsi="Times New Roman" w:cs="Times New Roman"/>
                <w:sz w:val="14"/>
                <w:szCs w:val="14"/>
              </w:rPr>
            </w:pPr>
            <w:r>
              <w:rPr>
                <w:rFonts w:ascii="Times New Roman" w:eastAsia="Times New Roman" w:hAnsi="Times New Roman" w:cs="Times New Roman"/>
                <w:i/>
                <w:sz w:val="14"/>
                <w:szCs w:val="14"/>
              </w:rPr>
              <w:t xml:space="preserve">Current Ratio     </w:t>
            </w:r>
            <w:r>
              <w:rPr>
                <w:rFonts w:ascii="Times New Roman" w:eastAsia="Times New Roman" w:hAnsi="Times New Roman" w:cs="Times New Roman"/>
                <w:sz w:val="14"/>
                <w:szCs w:val="14"/>
              </w:rPr>
              <w:t xml:space="preserve"> (</w:t>
            </w:r>
            <m:oMath>
              <m:sSub>
                <m:sSubPr>
                  <m:ctrlPr>
                    <w:rPr>
                      <w:rFonts w:ascii="Cambria Math" w:eastAsia="Cambria Math" w:hAnsi="Cambria Math" w:cs="Cambria Math"/>
                      <w:sz w:val="14"/>
                      <w:szCs w:val="14"/>
                    </w:rPr>
                  </m:ctrlPr>
                </m:sSubPr>
                <m:e>
                  <m:r>
                    <w:rPr>
                      <w:rFonts w:ascii="Cambria Math" w:eastAsia="Cambria Math" w:hAnsi="Cambria Math" w:cs="Cambria Math"/>
                      <w:sz w:val="14"/>
                      <w:szCs w:val="14"/>
                    </w:rPr>
                    <m:t>X</m:t>
                  </m:r>
                </m:e>
                <m:sub>
                  <m:r>
                    <w:rPr>
                      <w:rFonts w:ascii="Cambria Math" w:eastAsia="Cambria Math" w:hAnsi="Cambria Math" w:cs="Cambria Math"/>
                      <w:sz w:val="14"/>
                      <w:szCs w:val="14"/>
                    </w:rPr>
                    <m:t>1</m:t>
                  </m:r>
                </m:sub>
              </m:sSub>
            </m:oMath>
            <w:r>
              <w:rPr>
                <w:rFonts w:ascii="Times New Roman" w:eastAsia="Times New Roman" w:hAnsi="Times New Roman" w:cs="Times New Roman"/>
                <w:sz w:val="14"/>
                <w:szCs w:val="14"/>
              </w:rPr>
              <w:t>)</w:t>
            </w:r>
          </w:p>
        </w:tc>
        <w:tc>
          <w:tcPr>
            <w:tcW w:w="1218" w:type="dxa"/>
            <w:shd w:val="clear" w:color="auto" w:fill="auto"/>
            <w:tcMar>
              <w:top w:w="100" w:type="dxa"/>
              <w:left w:w="100" w:type="dxa"/>
              <w:bottom w:w="100" w:type="dxa"/>
              <w:right w:w="100" w:type="dxa"/>
            </w:tcMar>
          </w:tcPr>
          <w:p w:rsidR="00774682" w:rsidRDefault="00A117D1">
            <w:pPr>
              <w:widowControl w:val="0"/>
              <w:pBdr>
                <w:top w:val="nil"/>
                <w:left w:val="nil"/>
                <w:bottom w:val="nil"/>
                <w:right w:val="nil"/>
                <w:between w:val="nil"/>
              </w:pBdr>
              <w:spacing w:line="240" w:lineRule="auto"/>
              <w:ind w:right="2"/>
              <w:rPr>
                <w:rFonts w:ascii="Times New Roman" w:eastAsia="Times New Roman" w:hAnsi="Times New Roman" w:cs="Times New Roman"/>
                <w:sz w:val="14"/>
                <w:szCs w:val="14"/>
              </w:rPr>
            </w:pPr>
            <w:r>
              <w:rPr>
                <w:rFonts w:ascii="Times New Roman" w:eastAsia="Times New Roman" w:hAnsi="Times New Roman" w:cs="Times New Roman"/>
                <w:sz w:val="14"/>
                <w:szCs w:val="14"/>
              </w:rPr>
              <w:t>Perhitungan atass solvensi jangka pendek</w:t>
            </w:r>
          </w:p>
        </w:tc>
        <w:tc>
          <w:tcPr>
            <w:tcW w:w="1391" w:type="dxa"/>
            <w:shd w:val="clear" w:color="auto" w:fill="auto"/>
            <w:tcMar>
              <w:top w:w="100" w:type="dxa"/>
              <w:left w:w="100" w:type="dxa"/>
              <w:bottom w:w="100" w:type="dxa"/>
              <w:right w:w="100" w:type="dxa"/>
            </w:tcMar>
          </w:tcPr>
          <w:p w:rsidR="00774682" w:rsidRDefault="00A117D1">
            <w:pPr>
              <w:jc w:val="center"/>
              <w:rPr>
                <w:rFonts w:ascii="Cambria Math" w:eastAsia="Cambria Math" w:hAnsi="Cambria Math" w:cs="Cambria Math"/>
                <w:sz w:val="14"/>
                <w:szCs w:val="14"/>
              </w:rPr>
            </w:pPr>
            <m:oMathPara>
              <m:oMath>
                <m:f>
                  <m:fPr>
                    <m:ctrlPr>
                      <w:rPr>
                        <w:rFonts w:ascii="Cambria Math" w:eastAsia="Cambria Math" w:hAnsi="Cambria Math" w:cs="Cambria Math"/>
                        <w:sz w:val="14"/>
                        <w:szCs w:val="14"/>
                      </w:rPr>
                    </m:ctrlPr>
                  </m:fPr>
                  <m:num>
                    <m:r>
                      <w:rPr>
                        <w:rFonts w:ascii="Cambria Math" w:eastAsia="Cambria Math" w:hAnsi="Cambria Math" w:cs="Cambria Math"/>
                        <w:sz w:val="14"/>
                        <w:szCs w:val="14"/>
                      </w:rPr>
                      <m:t>Current</m:t>
                    </m:r>
                    <m:r>
                      <w:rPr>
                        <w:rFonts w:ascii="Cambria Math" w:eastAsia="Cambria Math" w:hAnsi="Cambria Math" w:cs="Cambria Math"/>
                        <w:sz w:val="14"/>
                        <w:szCs w:val="14"/>
                      </w:rPr>
                      <m:t xml:space="preserve"> </m:t>
                    </m:r>
                    <m:r>
                      <w:rPr>
                        <w:rFonts w:ascii="Cambria Math" w:eastAsia="Cambria Math" w:hAnsi="Cambria Math" w:cs="Cambria Math"/>
                        <w:sz w:val="14"/>
                        <w:szCs w:val="14"/>
                      </w:rPr>
                      <m:t>Assets</m:t>
                    </m:r>
                  </m:num>
                  <m:den>
                    <m:r>
                      <w:rPr>
                        <w:rFonts w:ascii="Cambria Math" w:eastAsia="Cambria Math" w:hAnsi="Cambria Math" w:cs="Cambria Math"/>
                        <w:sz w:val="14"/>
                        <w:szCs w:val="14"/>
                      </w:rPr>
                      <m:t>Current</m:t>
                    </m:r>
                    <m:r>
                      <w:rPr>
                        <w:rFonts w:ascii="Cambria Math" w:eastAsia="Cambria Math" w:hAnsi="Cambria Math" w:cs="Cambria Math"/>
                        <w:sz w:val="14"/>
                        <w:szCs w:val="14"/>
                      </w:rPr>
                      <m:t xml:space="preserve"> </m:t>
                    </m:r>
                    <m:r>
                      <w:rPr>
                        <w:rFonts w:ascii="Cambria Math" w:eastAsia="Cambria Math" w:hAnsi="Cambria Math" w:cs="Cambria Math"/>
                        <w:sz w:val="14"/>
                        <w:szCs w:val="14"/>
                      </w:rPr>
                      <m:t>Liabilities</m:t>
                    </m:r>
                  </m:den>
                </m:f>
              </m:oMath>
            </m:oMathPara>
          </w:p>
        </w:tc>
      </w:tr>
      <w:tr w:rsidR="00774682">
        <w:tc>
          <w:tcPr>
            <w:tcW w:w="1219" w:type="dxa"/>
            <w:shd w:val="clear" w:color="auto" w:fill="auto"/>
            <w:tcMar>
              <w:top w:w="100" w:type="dxa"/>
              <w:left w:w="100" w:type="dxa"/>
              <w:bottom w:w="100" w:type="dxa"/>
              <w:right w:w="100" w:type="dxa"/>
            </w:tcMar>
          </w:tcPr>
          <w:p w:rsidR="00774682" w:rsidRDefault="00A117D1">
            <w:pPr>
              <w:widowControl w:val="0"/>
              <w:pBdr>
                <w:top w:val="nil"/>
                <w:left w:val="nil"/>
                <w:bottom w:val="nil"/>
                <w:right w:val="nil"/>
                <w:between w:val="nil"/>
              </w:pBdr>
              <w:spacing w:line="240" w:lineRule="auto"/>
              <w:ind w:right="2"/>
              <w:rPr>
                <w:rFonts w:ascii="Times New Roman" w:eastAsia="Times New Roman" w:hAnsi="Times New Roman" w:cs="Times New Roman"/>
                <w:sz w:val="14"/>
                <w:szCs w:val="14"/>
              </w:rPr>
            </w:pPr>
            <w:r>
              <w:rPr>
                <w:rFonts w:ascii="Times New Roman" w:eastAsia="Times New Roman" w:hAnsi="Times New Roman" w:cs="Times New Roman"/>
                <w:i/>
                <w:sz w:val="14"/>
                <w:szCs w:val="14"/>
              </w:rPr>
              <w:t>Return on Equity</w:t>
            </w:r>
            <w:r>
              <w:rPr>
                <w:rFonts w:ascii="Times New Roman" w:eastAsia="Times New Roman" w:hAnsi="Times New Roman" w:cs="Times New Roman"/>
                <w:sz w:val="14"/>
                <w:szCs w:val="14"/>
              </w:rPr>
              <w:t xml:space="preserve"> (</w:t>
            </w:r>
            <m:oMath>
              <m:sSub>
                <m:sSubPr>
                  <m:ctrlPr>
                    <w:rPr>
                      <w:rFonts w:ascii="Cambria Math" w:eastAsia="Cambria Math" w:hAnsi="Cambria Math" w:cs="Cambria Math"/>
                      <w:sz w:val="14"/>
                      <w:szCs w:val="14"/>
                    </w:rPr>
                  </m:ctrlPr>
                </m:sSubPr>
                <m:e>
                  <m:r>
                    <w:rPr>
                      <w:rFonts w:ascii="Cambria Math" w:eastAsia="Cambria Math" w:hAnsi="Cambria Math" w:cs="Cambria Math"/>
                      <w:sz w:val="14"/>
                      <w:szCs w:val="14"/>
                    </w:rPr>
                    <m:t>X</m:t>
                  </m:r>
                </m:e>
                <m:sub>
                  <m:r>
                    <w:rPr>
                      <w:rFonts w:ascii="Cambria Math" w:eastAsia="Cambria Math" w:hAnsi="Cambria Math" w:cs="Cambria Math"/>
                      <w:sz w:val="14"/>
                      <w:szCs w:val="14"/>
                    </w:rPr>
                    <m:t>2</m:t>
                  </m:r>
                </m:sub>
              </m:sSub>
            </m:oMath>
            <w:r>
              <w:rPr>
                <w:rFonts w:ascii="Times New Roman" w:eastAsia="Times New Roman" w:hAnsi="Times New Roman" w:cs="Times New Roman"/>
                <w:sz w:val="14"/>
                <w:szCs w:val="14"/>
              </w:rPr>
              <w:t>)</w:t>
            </w:r>
          </w:p>
          <w:p w:rsidR="00774682" w:rsidRDefault="00774682">
            <w:pPr>
              <w:widowControl w:val="0"/>
              <w:pBdr>
                <w:top w:val="nil"/>
                <w:left w:val="nil"/>
                <w:bottom w:val="nil"/>
                <w:right w:val="nil"/>
                <w:between w:val="nil"/>
              </w:pBdr>
              <w:spacing w:line="240" w:lineRule="auto"/>
              <w:ind w:right="2"/>
              <w:rPr>
                <w:rFonts w:ascii="Times New Roman" w:eastAsia="Times New Roman" w:hAnsi="Times New Roman" w:cs="Times New Roman"/>
                <w:sz w:val="14"/>
                <w:szCs w:val="14"/>
              </w:rPr>
            </w:pPr>
          </w:p>
          <w:p w:rsidR="00774682" w:rsidRDefault="00774682">
            <w:pPr>
              <w:widowControl w:val="0"/>
              <w:pBdr>
                <w:top w:val="nil"/>
                <w:left w:val="nil"/>
                <w:bottom w:val="nil"/>
                <w:right w:val="nil"/>
                <w:between w:val="nil"/>
              </w:pBdr>
              <w:spacing w:line="240" w:lineRule="auto"/>
              <w:ind w:right="2"/>
              <w:rPr>
                <w:rFonts w:ascii="Times New Roman" w:eastAsia="Times New Roman" w:hAnsi="Times New Roman" w:cs="Times New Roman"/>
                <w:sz w:val="14"/>
                <w:szCs w:val="14"/>
              </w:rPr>
            </w:pPr>
          </w:p>
        </w:tc>
        <w:tc>
          <w:tcPr>
            <w:tcW w:w="1218" w:type="dxa"/>
            <w:shd w:val="clear" w:color="auto" w:fill="auto"/>
            <w:tcMar>
              <w:top w:w="100" w:type="dxa"/>
              <w:left w:w="100" w:type="dxa"/>
              <w:bottom w:w="100" w:type="dxa"/>
              <w:right w:w="100" w:type="dxa"/>
            </w:tcMar>
          </w:tcPr>
          <w:p w:rsidR="00774682" w:rsidRDefault="00A117D1">
            <w:pPr>
              <w:widowControl w:val="0"/>
              <w:pBdr>
                <w:top w:val="nil"/>
                <w:left w:val="nil"/>
                <w:bottom w:val="nil"/>
                <w:right w:val="nil"/>
                <w:between w:val="nil"/>
              </w:pBdr>
              <w:spacing w:line="240" w:lineRule="auto"/>
              <w:ind w:right="2"/>
              <w:rPr>
                <w:rFonts w:ascii="Times New Roman" w:eastAsia="Times New Roman" w:hAnsi="Times New Roman" w:cs="Times New Roman"/>
                <w:sz w:val="14"/>
                <w:szCs w:val="14"/>
              </w:rPr>
            </w:pPr>
            <w:r>
              <w:rPr>
                <w:rFonts w:ascii="Times New Roman" w:eastAsia="Times New Roman" w:hAnsi="Times New Roman" w:cs="Times New Roman"/>
                <w:sz w:val="14"/>
                <w:szCs w:val="14"/>
              </w:rPr>
              <w:t>Rasio yang digunakan untuk mengukur tingkat keuntungan dari investasi yang telah dilakukan pemegang saham</w:t>
            </w:r>
          </w:p>
        </w:tc>
        <w:tc>
          <w:tcPr>
            <w:tcW w:w="1391" w:type="dxa"/>
            <w:shd w:val="clear" w:color="auto" w:fill="auto"/>
            <w:tcMar>
              <w:top w:w="100" w:type="dxa"/>
              <w:left w:w="100" w:type="dxa"/>
              <w:bottom w:w="100" w:type="dxa"/>
              <w:right w:w="100" w:type="dxa"/>
            </w:tcMar>
          </w:tcPr>
          <w:p w:rsidR="00774682" w:rsidRDefault="00774682">
            <w:pPr>
              <w:widowControl w:val="0"/>
              <w:spacing w:line="240" w:lineRule="auto"/>
              <w:ind w:right="2"/>
              <w:jc w:val="center"/>
              <w:rPr>
                <w:rFonts w:ascii="Times New Roman" w:eastAsia="Times New Roman" w:hAnsi="Times New Roman" w:cs="Times New Roman"/>
                <w:sz w:val="14"/>
                <w:szCs w:val="14"/>
              </w:rPr>
            </w:pPr>
          </w:p>
          <w:p w:rsidR="00774682" w:rsidRDefault="00774682">
            <w:pPr>
              <w:widowControl w:val="0"/>
              <w:spacing w:line="240" w:lineRule="auto"/>
              <w:ind w:right="2"/>
              <w:rPr>
                <w:rFonts w:ascii="Times New Roman" w:eastAsia="Times New Roman" w:hAnsi="Times New Roman" w:cs="Times New Roman"/>
                <w:sz w:val="14"/>
                <w:szCs w:val="14"/>
              </w:rPr>
            </w:pPr>
          </w:p>
          <w:p w:rsidR="00774682" w:rsidRDefault="00A117D1">
            <w:pPr>
              <w:jc w:val="center"/>
              <w:rPr>
                <w:rFonts w:ascii="Cambria Math" w:eastAsia="Cambria Math" w:hAnsi="Cambria Math" w:cs="Cambria Math"/>
                <w:sz w:val="14"/>
                <w:szCs w:val="14"/>
              </w:rPr>
            </w:pPr>
            <m:oMathPara>
              <m:oMath>
                <m:f>
                  <m:fPr>
                    <m:ctrlPr>
                      <w:rPr>
                        <w:rFonts w:ascii="Cambria Math" w:eastAsia="Cambria Math" w:hAnsi="Cambria Math" w:cs="Cambria Math"/>
                        <w:sz w:val="14"/>
                        <w:szCs w:val="14"/>
                      </w:rPr>
                    </m:ctrlPr>
                  </m:fPr>
                  <m:num>
                    <m:r>
                      <w:rPr>
                        <w:rFonts w:ascii="Cambria Math" w:eastAsia="Cambria Math" w:hAnsi="Cambria Math" w:cs="Cambria Math"/>
                        <w:sz w:val="14"/>
                        <w:szCs w:val="14"/>
                      </w:rPr>
                      <m:t>Net</m:t>
                    </m:r>
                    <m:r>
                      <w:rPr>
                        <w:rFonts w:ascii="Cambria Math" w:eastAsia="Cambria Math" w:hAnsi="Cambria Math" w:cs="Cambria Math"/>
                        <w:sz w:val="14"/>
                        <w:szCs w:val="14"/>
                      </w:rPr>
                      <m:t xml:space="preserve"> </m:t>
                    </m:r>
                    <m:r>
                      <w:rPr>
                        <w:rFonts w:ascii="Cambria Math" w:eastAsia="Cambria Math" w:hAnsi="Cambria Math" w:cs="Cambria Math"/>
                        <w:sz w:val="14"/>
                        <w:szCs w:val="14"/>
                      </w:rPr>
                      <m:t>Profit</m:t>
                    </m:r>
                  </m:num>
                  <m:den>
                    <m:r>
                      <w:rPr>
                        <w:rFonts w:ascii="Cambria Math" w:eastAsia="Cambria Math" w:hAnsi="Cambria Math" w:cs="Cambria Math"/>
                        <w:sz w:val="14"/>
                        <w:szCs w:val="14"/>
                      </w:rPr>
                      <m:t>Total</m:t>
                    </m:r>
                    <m:r>
                      <w:rPr>
                        <w:rFonts w:ascii="Cambria Math" w:eastAsia="Cambria Math" w:hAnsi="Cambria Math" w:cs="Cambria Math"/>
                        <w:sz w:val="14"/>
                        <w:szCs w:val="14"/>
                      </w:rPr>
                      <m:t xml:space="preserve"> </m:t>
                    </m:r>
                    <m:r>
                      <w:rPr>
                        <w:rFonts w:ascii="Cambria Math" w:eastAsia="Cambria Math" w:hAnsi="Cambria Math" w:cs="Cambria Math"/>
                        <w:sz w:val="14"/>
                        <w:szCs w:val="14"/>
                      </w:rPr>
                      <m:t>Equity</m:t>
                    </m:r>
                  </m:den>
                </m:f>
              </m:oMath>
            </m:oMathPara>
          </w:p>
        </w:tc>
      </w:tr>
      <w:tr w:rsidR="00774682">
        <w:tc>
          <w:tcPr>
            <w:tcW w:w="1219" w:type="dxa"/>
            <w:shd w:val="clear" w:color="auto" w:fill="auto"/>
            <w:tcMar>
              <w:top w:w="100" w:type="dxa"/>
              <w:left w:w="100" w:type="dxa"/>
              <w:bottom w:w="100" w:type="dxa"/>
              <w:right w:w="100" w:type="dxa"/>
            </w:tcMar>
          </w:tcPr>
          <w:p w:rsidR="00774682" w:rsidRDefault="00A117D1">
            <w:pPr>
              <w:widowControl w:val="0"/>
              <w:pBdr>
                <w:top w:val="nil"/>
                <w:left w:val="nil"/>
                <w:bottom w:val="nil"/>
                <w:right w:val="nil"/>
                <w:between w:val="nil"/>
              </w:pBdr>
              <w:spacing w:line="240" w:lineRule="auto"/>
              <w:ind w:right="2"/>
              <w:rPr>
                <w:rFonts w:ascii="Times New Roman" w:eastAsia="Times New Roman" w:hAnsi="Times New Roman" w:cs="Times New Roman"/>
                <w:i/>
                <w:sz w:val="14"/>
                <w:szCs w:val="14"/>
              </w:rPr>
            </w:pPr>
            <w:r>
              <w:rPr>
                <w:rFonts w:ascii="Times New Roman" w:eastAsia="Times New Roman" w:hAnsi="Times New Roman" w:cs="Times New Roman"/>
                <w:i/>
                <w:sz w:val="14"/>
                <w:szCs w:val="14"/>
              </w:rPr>
              <w:t xml:space="preserve">Debt to Asset Ratio </w:t>
            </w:r>
            <w:r>
              <w:rPr>
                <w:rFonts w:ascii="Times New Roman" w:eastAsia="Times New Roman" w:hAnsi="Times New Roman" w:cs="Times New Roman"/>
                <w:sz w:val="14"/>
                <w:szCs w:val="14"/>
              </w:rPr>
              <w:t>(</w:t>
            </w:r>
            <m:oMath>
              <m:sSub>
                <m:sSubPr>
                  <m:ctrlPr>
                    <w:rPr>
                      <w:rFonts w:ascii="Cambria Math" w:eastAsia="Cambria Math" w:hAnsi="Cambria Math" w:cs="Cambria Math"/>
                      <w:sz w:val="14"/>
                      <w:szCs w:val="14"/>
                    </w:rPr>
                  </m:ctrlPr>
                </m:sSubPr>
                <m:e>
                  <m:r>
                    <w:rPr>
                      <w:rFonts w:ascii="Cambria Math" w:eastAsia="Cambria Math" w:hAnsi="Cambria Math" w:cs="Cambria Math"/>
                      <w:sz w:val="14"/>
                      <w:szCs w:val="14"/>
                    </w:rPr>
                    <m:t>X</m:t>
                  </m:r>
                </m:e>
                <m:sub>
                  <m:r>
                    <w:rPr>
                      <w:rFonts w:ascii="Cambria Math" w:eastAsia="Cambria Math" w:hAnsi="Cambria Math" w:cs="Cambria Math"/>
                      <w:sz w:val="14"/>
                      <w:szCs w:val="14"/>
                    </w:rPr>
                    <m:t>3</m:t>
                  </m:r>
                </m:sub>
              </m:sSub>
            </m:oMath>
            <w:r>
              <w:rPr>
                <w:rFonts w:ascii="Times New Roman" w:eastAsia="Times New Roman" w:hAnsi="Times New Roman" w:cs="Times New Roman"/>
                <w:sz w:val="14"/>
                <w:szCs w:val="14"/>
              </w:rPr>
              <w:t>)</w:t>
            </w:r>
          </w:p>
        </w:tc>
        <w:tc>
          <w:tcPr>
            <w:tcW w:w="1218" w:type="dxa"/>
            <w:shd w:val="clear" w:color="auto" w:fill="auto"/>
            <w:tcMar>
              <w:top w:w="100" w:type="dxa"/>
              <w:left w:w="100" w:type="dxa"/>
              <w:bottom w:w="100" w:type="dxa"/>
              <w:right w:w="100" w:type="dxa"/>
            </w:tcMar>
          </w:tcPr>
          <w:p w:rsidR="00774682" w:rsidRDefault="00A117D1">
            <w:pPr>
              <w:widowControl w:val="0"/>
              <w:pBdr>
                <w:top w:val="nil"/>
                <w:left w:val="nil"/>
                <w:bottom w:val="nil"/>
                <w:right w:val="nil"/>
                <w:between w:val="nil"/>
              </w:pBdr>
              <w:spacing w:line="240" w:lineRule="auto"/>
              <w:ind w:right="2"/>
              <w:rPr>
                <w:rFonts w:ascii="Times New Roman" w:eastAsia="Times New Roman" w:hAnsi="Times New Roman" w:cs="Times New Roman"/>
                <w:sz w:val="14"/>
                <w:szCs w:val="14"/>
              </w:rPr>
            </w:pPr>
            <w:r>
              <w:rPr>
                <w:rFonts w:ascii="Times New Roman" w:eastAsia="Times New Roman" w:hAnsi="Times New Roman" w:cs="Times New Roman"/>
                <w:sz w:val="14"/>
                <w:szCs w:val="14"/>
              </w:rPr>
              <w:t>Rasio utang yang digunakan untuk mengukur perbandingan antara total utang dengan total aset perusahaan</w:t>
            </w:r>
          </w:p>
        </w:tc>
        <w:tc>
          <w:tcPr>
            <w:tcW w:w="1391" w:type="dxa"/>
            <w:shd w:val="clear" w:color="auto" w:fill="auto"/>
            <w:tcMar>
              <w:top w:w="100" w:type="dxa"/>
              <w:left w:w="100" w:type="dxa"/>
              <w:bottom w:w="100" w:type="dxa"/>
              <w:right w:w="100" w:type="dxa"/>
            </w:tcMar>
          </w:tcPr>
          <w:p w:rsidR="00774682" w:rsidRDefault="00774682">
            <w:pPr>
              <w:widowControl w:val="0"/>
              <w:pBdr>
                <w:top w:val="nil"/>
                <w:left w:val="nil"/>
                <w:bottom w:val="nil"/>
                <w:right w:val="nil"/>
                <w:between w:val="nil"/>
              </w:pBdr>
              <w:spacing w:line="240" w:lineRule="auto"/>
              <w:ind w:right="2"/>
              <w:jc w:val="center"/>
              <w:rPr>
                <w:rFonts w:ascii="Times New Roman" w:eastAsia="Times New Roman" w:hAnsi="Times New Roman" w:cs="Times New Roman"/>
                <w:sz w:val="14"/>
                <w:szCs w:val="14"/>
              </w:rPr>
            </w:pPr>
          </w:p>
          <w:p w:rsidR="00774682" w:rsidRDefault="00A117D1">
            <w:pPr>
              <w:jc w:val="center"/>
              <w:rPr>
                <w:rFonts w:ascii="Cambria Math" w:eastAsia="Cambria Math" w:hAnsi="Cambria Math" w:cs="Cambria Math"/>
                <w:sz w:val="14"/>
                <w:szCs w:val="14"/>
              </w:rPr>
            </w:pPr>
            <m:oMathPara>
              <m:oMath>
                <m:f>
                  <m:fPr>
                    <m:ctrlPr>
                      <w:rPr>
                        <w:rFonts w:ascii="Cambria Math" w:eastAsia="Cambria Math" w:hAnsi="Cambria Math" w:cs="Cambria Math"/>
                        <w:sz w:val="14"/>
                        <w:szCs w:val="14"/>
                      </w:rPr>
                    </m:ctrlPr>
                  </m:fPr>
                  <m:num>
                    <m:r>
                      <w:rPr>
                        <w:rFonts w:ascii="Cambria Math" w:eastAsia="Cambria Math" w:hAnsi="Cambria Math" w:cs="Cambria Math"/>
                        <w:sz w:val="14"/>
                        <w:szCs w:val="14"/>
                      </w:rPr>
                      <m:t>Total</m:t>
                    </m:r>
                    <m:r>
                      <w:rPr>
                        <w:rFonts w:ascii="Cambria Math" w:eastAsia="Cambria Math" w:hAnsi="Cambria Math" w:cs="Cambria Math"/>
                        <w:sz w:val="14"/>
                        <w:szCs w:val="14"/>
                      </w:rPr>
                      <m:t xml:space="preserve"> </m:t>
                    </m:r>
                    <m:r>
                      <w:rPr>
                        <w:rFonts w:ascii="Cambria Math" w:eastAsia="Cambria Math" w:hAnsi="Cambria Math" w:cs="Cambria Math"/>
                        <w:sz w:val="14"/>
                        <w:szCs w:val="14"/>
                      </w:rPr>
                      <m:t>Liabilities</m:t>
                    </m:r>
                  </m:num>
                  <m:den>
                    <m:r>
                      <w:rPr>
                        <w:rFonts w:ascii="Cambria Math" w:eastAsia="Cambria Math" w:hAnsi="Cambria Math" w:cs="Cambria Math"/>
                        <w:sz w:val="14"/>
                        <w:szCs w:val="14"/>
                      </w:rPr>
                      <m:t>Total</m:t>
                    </m:r>
                    <m:r>
                      <w:rPr>
                        <w:rFonts w:ascii="Cambria Math" w:eastAsia="Cambria Math" w:hAnsi="Cambria Math" w:cs="Cambria Math"/>
                        <w:sz w:val="14"/>
                        <w:szCs w:val="14"/>
                      </w:rPr>
                      <m:t xml:space="preserve"> </m:t>
                    </m:r>
                    <m:r>
                      <w:rPr>
                        <w:rFonts w:ascii="Cambria Math" w:eastAsia="Cambria Math" w:hAnsi="Cambria Math" w:cs="Cambria Math"/>
                        <w:sz w:val="14"/>
                        <w:szCs w:val="14"/>
                      </w:rPr>
                      <m:t>Assets</m:t>
                    </m:r>
                  </m:den>
                </m:f>
              </m:oMath>
            </m:oMathPara>
          </w:p>
        </w:tc>
      </w:tr>
    </w:tbl>
    <w:p w:rsidR="00774682" w:rsidRDefault="00774682">
      <w:pPr>
        <w:spacing w:line="240" w:lineRule="auto"/>
        <w:ind w:right="2"/>
        <w:rPr>
          <w:rFonts w:ascii="Times New Roman" w:eastAsia="Times New Roman" w:hAnsi="Times New Roman" w:cs="Times New Roman"/>
          <w:b/>
          <w:sz w:val="24"/>
          <w:szCs w:val="24"/>
        </w:rPr>
      </w:pPr>
    </w:p>
    <w:p w:rsidR="00774682" w:rsidRDefault="00A117D1">
      <w:pPr>
        <w:spacing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Analisis Data</w:t>
      </w:r>
    </w:p>
    <w:p w:rsidR="00774682" w:rsidRDefault="00A117D1">
      <w:pPr>
        <w:spacing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Analisis data yang digunakan adalah:</w:t>
      </w:r>
    </w:p>
    <w:p w:rsidR="00774682" w:rsidRDefault="00A117D1">
      <w:pPr>
        <w:numPr>
          <w:ilvl w:val="0"/>
          <w:numId w:val="1"/>
        </w:numPr>
        <w:spacing w:line="240" w:lineRule="auto"/>
        <w:ind w:left="284" w:right="2" w:hanging="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Statistik Deskriptif</w:t>
      </w:r>
    </w:p>
    <w:p w:rsidR="00774682" w:rsidRDefault="00A117D1">
      <w:pPr>
        <w:spacing w:line="240" w:lineRule="auto"/>
        <w:ind w:left="284" w:right="2"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Menurut Ghozali (2018) uji statistika deskriptif merupakan suatu metode yang digunakan dalam menganalisis untuk menggambarkan atau mendeskripsikan suatu data yang meliputi nilai rata-rata, standar deviasi, varian, maksimum, sum, range, kurtosis dan skewnes</w:t>
      </w:r>
      <w:r>
        <w:rPr>
          <w:rFonts w:ascii="Times New Roman" w:eastAsia="Times New Roman" w:hAnsi="Times New Roman" w:cs="Times New Roman"/>
          <w:sz w:val="24"/>
          <w:szCs w:val="24"/>
        </w:rPr>
        <w:t>s.</w:t>
      </w:r>
    </w:p>
    <w:p w:rsidR="00774682" w:rsidRDefault="00A117D1">
      <w:pPr>
        <w:numPr>
          <w:ilvl w:val="0"/>
          <w:numId w:val="1"/>
        </w:numPr>
        <w:spacing w:line="240" w:lineRule="auto"/>
        <w:ind w:left="284" w:right="2" w:hanging="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Asumsi Klasik</w:t>
      </w:r>
    </w:p>
    <w:p w:rsidR="00774682" w:rsidRDefault="00A117D1">
      <w:pPr>
        <w:numPr>
          <w:ilvl w:val="0"/>
          <w:numId w:val="4"/>
        </w:numPr>
        <w:spacing w:line="240" w:lineRule="auto"/>
        <w:ind w:left="567" w:right="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Uji Normalitas; pengujian ini menghasilkan grafik normal probability plot dan kolmogorov-smirnov. Pengujian normalitas bertujuan untuk mengetahui apakah variabel berdistribusi normal atau tidak.</w:t>
      </w:r>
    </w:p>
    <w:p w:rsidR="00774682" w:rsidRDefault="00A117D1">
      <w:pPr>
        <w:numPr>
          <w:ilvl w:val="0"/>
          <w:numId w:val="4"/>
        </w:numPr>
        <w:spacing w:line="240" w:lineRule="auto"/>
        <w:ind w:left="567" w:right="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Uji Heteroskedastisitas; bertujuan untuk</w:t>
      </w:r>
      <w:r>
        <w:rPr>
          <w:rFonts w:ascii="Times New Roman" w:eastAsia="Times New Roman" w:hAnsi="Times New Roman" w:cs="Times New Roman"/>
          <w:sz w:val="24"/>
          <w:szCs w:val="24"/>
        </w:rPr>
        <w:t xml:space="preserve"> mengetahui apakah terjadi suatu ketidaksamaan varians residual dari satu pengamatan yang lain dalam sebuah model regresi.</w:t>
      </w:r>
    </w:p>
    <w:p w:rsidR="00774682" w:rsidRDefault="00A117D1">
      <w:pPr>
        <w:numPr>
          <w:ilvl w:val="0"/>
          <w:numId w:val="4"/>
        </w:numPr>
        <w:spacing w:line="240" w:lineRule="auto"/>
        <w:ind w:left="567" w:right="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Uji Autokorelasi; untuk menguji apakah terdapat korelasi antara kesalahan pengganggu pada periode dengan kesalahan pengganggu pada pe</w:t>
      </w:r>
      <w:r>
        <w:rPr>
          <w:rFonts w:ascii="Times New Roman" w:eastAsia="Times New Roman" w:hAnsi="Times New Roman" w:cs="Times New Roman"/>
          <w:sz w:val="24"/>
          <w:szCs w:val="24"/>
        </w:rPr>
        <w:t>riode t-1 atau sebelumnya dalam suatu model regresi linier .</w:t>
      </w:r>
    </w:p>
    <w:p w:rsidR="00774682" w:rsidRDefault="00A117D1">
      <w:pPr>
        <w:numPr>
          <w:ilvl w:val="0"/>
          <w:numId w:val="4"/>
        </w:numPr>
        <w:spacing w:line="240" w:lineRule="auto"/>
        <w:ind w:left="567" w:right="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Uji Multikolinearitas; pengujian yang dilakukan untuk menemukan ada tidaknya korelasi antar variabel bebas (independen) dalam model regresi. Caranya dengan melihat nilai yang tertera pada tabel k</w:t>
      </w:r>
      <w:r>
        <w:rPr>
          <w:rFonts w:ascii="Times New Roman" w:eastAsia="Times New Roman" w:hAnsi="Times New Roman" w:cs="Times New Roman"/>
          <w:sz w:val="24"/>
          <w:szCs w:val="24"/>
        </w:rPr>
        <w:t>olom Tolerance dan VIF. Jika nilai Tolerance &lt; 0.10 atau sama dengan nilai VIF &gt; 10 maka terjadi gejala multikolinearitas.</w:t>
      </w:r>
    </w:p>
    <w:p w:rsidR="00774682" w:rsidRDefault="00A117D1">
      <w:pPr>
        <w:numPr>
          <w:ilvl w:val="0"/>
          <w:numId w:val="1"/>
        </w:numPr>
        <w:spacing w:line="240" w:lineRule="auto"/>
        <w:ind w:left="567"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Hipotesis dan Signifikansi Model</w:t>
      </w:r>
    </w:p>
    <w:p w:rsidR="00774682" w:rsidRDefault="00A117D1">
      <w:pPr>
        <w:spacing w:line="240" w:lineRule="auto"/>
        <w:ind w:left="567"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Uji Hipotesis atau uji t dilakukan untuk mengetahui bagaimana pengaruh dari masing-masing variab</w:t>
      </w:r>
      <w:r>
        <w:rPr>
          <w:rFonts w:ascii="Times New Roman" w:eastAsia="Times New Roman" w:hAnsi="Times New Roman" w:cs="Times New Roman"/>
          <w:sz w:val="24"/>
          <w:szCs w:val="24"/>
        </w:rPr>
        <w:t>el bebas terhadap variabel terikat. Pengujian hipotesis menggunakan taraf signifikansi 5%. Sedangkan Uji Signifikansi Model atau uji F dilakukan dengan tujuan untuk mengetahui besarnya pengaruh variabel bebas secara bersama-sama atau simultan terhadap vari</w:t>
      </w:r>
      <w:r>
        <w:rPr>
          <w:rFonts w:ascii="Times New Roman" w:eastAsia="Times New Roman" w:hAnsi="Times New Roman" w:cs="Times New Roman"/>
          <w:sz w:val="24"/>
          <w:szCs w:val="24"/>
        </w:rPr>
        <w:t>abel terikat dengan menggunakan analisis varians.</w:t>
      </w:r>
    </w:p>
    <w:p w:rsidR="00774682" w:rsidRDefault="00774682">
      <w:pPr>
        <w:spacing w:line="240" w:lineRule="auto"/>
        <w:ind w:right="2"/>
        <w:rPr>
          <w:rFonts w:ascii="Times New Roman" w:eastAsia="Times New Roman" w:hAnsi="Times New Roman" w:cs="Times New Roman"/>
          <w:sz w:val="24"/>
          <w:szCs w:val="24"/>
        </w:rPr>
      </w:pP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 PENELITIAN</w:t>
      </w: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Statistika Deskriptif</w:t>
      </w:r>
    </w:p>
    <w:tbl>
      <w:tblPr>
        <w:tblStyle w:val="a1"/>
        <w:tblW w:w="3893" w:type="dxa"/>
        <w:jc w:val="center"/>
        <w:tblBorders>
          <w:top w:val="single" w:sz="6" w:space="0" w:color="152935"/>
          <w:bottom w:val="single" w:sz="6" w:space="0" w:color="152935"/>
          <w:insideH w:val="single" w:sz="6" w:space="0" w:color="152935"/>
        </w:tblBorders>
        <w:tblLayout w:type="fixed"/>
        <w:tblLook w:val="0600" w:firstRow="0" w:lastRow="0" w:firstColumn="0" w:lastColumn="0" w:noHBand="1" w:noVBand="1"/>
      </w:tblPr>
      <w:tblGrid>
        <w:gridCol w:w="668"/>
        <w:gridCol w:w="473"/>
        <w:gridCol w:w="702"/>
        <w:gridCol w:w="853"/>
        <w:gridCol w:w="562"/>
        <w:gridCol w:w="635"/>
      </w:tblGrid>
      <w:tr w:rsidR="00774682">
        <w:trPr>
          <w:trHeight w:val="360"/>
          <w:jc w:val="center"/>
        </w:trPr>
        <w:tc>
          <w:tcPr>
            <w:tcW w:w="3893" w:type="dxa"/>
            <w:gridSpan w:val="6"/>
            <w:shd w:val="clear" w:color="auto" w:fill="FFFFFF"/>
            <w:tcMar>
              <w:top w:w="0" w:type="dxa"/>
              <w:left w:w="0" w:type="dxa"/>
              <w:bottom w:w="0" w:type="dxa"/>
              <w:right w:w="0" w:type="dxa"/>
            </w:tcMar>
          </w:tcPr>
          <w:p w:rsidR="00774682" w:rsidRDefault="00A117D1">
            <w:pPr>
              <w:tabs>
                <w:tab w:val="left" w:pos="7740"/>
              </w:tabs>
              <w:spacing w:line="240" w:lineRule="auto"/>
              <w:ind w:right="2"/>
              <w:jc w:val="center"/>
              <w:rPr>
                <w:rFonts w:ascii="Times New Roman" w:eastAsia="Times New Roman" w:hAnsi="Times New Roman" w:cs="Times New Roman"/>
                <w:b/>
                <w:color w:val="010205"/>
                <w:sz w:val="16"/>
                <w:szCs w:val="16"/>
              </w:rPr>
            </w:pPr>
            <w:r>
              <w:rPr>
                <w:rFonts w:ascii="Times New Roman" w:eastAsia="Times New Roman" w:hAnsi="Times New Roman" w:cs="Times New Roman"/>
                <w:b/>
                <w:sz w:val="16"/>
                <w:szCs w:val="16"/>
              </w:rPr>
              <w:t>Table 3. Descriptive Statistics</w:t>
            </w:r>
          </w:p>
        </w:tc>
      </w:tr>
      <w:tr w:rsidR="00774682">
        <w:trPr>
          <w:trHeight w:val="360"/>
          <w:jc w:val="center"/>
        </w:trPr>
        <w:tc>
          <w:tcPr>
            <w:tcW w:w="668" w:type="dxa"/>
            <w:shd w:val="clear" w:color="auto" w:fill="FFFFFF"/>
            <w:tcMar>
              <w:top w:w="0" w:type="dxa"/>
              <w:left w:w="0" w:type="dxa"/>
              <w:bottom w:w="0" w:type="dxa"/>
              <w:right w:w="0" w:type="dxa"/>
            </w:tcMar>
            <w:vAlign w:val="bottom"/>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473"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w:t>
            </w:r>
          </w:p>
        </w:tc>
        <w:tc>
          <w:tcPr>
            <w:tcW w:w="702"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Minimum</w:t>
            </w:r>
          </w:p>
        </w:tc>
        <w:tc>
          <w:tcPr>
            <w:tcW w:w="853"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Maximum</w:t>
            </w:r>
          </w:p>
        </w:tc>
        <w:tc>
          <w:tcPr>
            <w:tcW w:w="562"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Mean</w:t>
            </w:r>
          </w:p>
        </w:tc>
        <w:tc>
          <w:tcPr>
            <w:tcW w:w="635"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Std. Deviation</w:t>
            </w:r>
          </w:p>
        </w:tc>
      </w:tr>
      <w:tr w:rsidR="00774682">
        <w:trPr>
          <w:trHeight w:val="118"/>
          <w:jc w:val="center"/>
        </w:trPr>
        <w:tc>
          <w:tcPr>
            <w:tcW w:w="668" w:type="dxa"/>
            <w:shd w:val="clear" w:color="auto" w:fill="auto"/>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PSAK 72</w:t>
            </w:r>
          </w:p>
        </w:tc>
        <w:tc>
          <w:tcPr>
            <w:tcW w:w="473"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50</w:t>
            </w:r>
          </w:p>
        </w:tc>
        <w:tc>
          <w:tcPr>
            <w:tcW w:w="702"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.00</w:t>
            </w:r>
          </w:p>
        </w:tc>
        <w:tc>
          <w:tcPr>
            <w:tcW w:w="853"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1.00</w:t>
            </w:r>
          </w:p>
        </w:tc>
        <w:tc>
          <w:tcPr>
            <w:tcW w:w="562"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.5000</w:t>
            </w:r>
          </w:p>
        </w:tc>
        <w:tc>
          <w:tcPr>
            <w:tcW w:w="635"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.50508</w:t>
            </w:r>
          </w:p>
        </w:tc>
      </w:tr>
      <w:tr w:rsidR="00774682">
        <w:trPr>
          <w:trHeight w:val="345"/>
          <w:jc w:val="center"/>
        </w:trPr>
        <w:tc>
          <w:tcPr>
            <w:tcW w:w="668" w:type="dxa"/>
            <w:shd w:val="clear" w:color="auto" w:fill="auto"/>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Rasio Lancar</w:t>
            </w:r>
          </w:p>
        </w:tc>
        <w:tc>
          <w:tcPr>
            <w:tcW w:w="473"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50</w:t>
            </w:r>
          </w:p>
        </w:tc>
        <w:tc>
          <w:tcPr>
            <w:tcW w:w="702"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.00</w:t>
            </w:r>
          </w:p>
        </w:tc>
        <w:tc>
          <w:tcPr>
            <w:tcW w:w="853"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410.92</w:t>
            </w:r>
          </w:p>
        </w:tc>
        <w:tc>
          <w:tcPr>
            <w:tcW w:w="562"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12.57</w:t>
            </w:r>
          </w:p>
        </w:tc>
        <w:tc>
          <w:tcPr>
            <w:tcW w:w="635"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59.34217</w:t>
            </w:r>
          </w:p>
        </w:tc>
      </w:tr>
      <w:tr w:rsidR="00774682">
        <w:trPr>
          <w:trHeight w:val="45"/>
          <w:jc w:val="center"/>
        </w:trPr>
        <w:tc>
          <w:tcPr>
            <w:tcW w:w="668" w:type="dxa"/>
            <w:shd w:val="clear" w:color="auto" w:fill="auto"/>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ROE</w:t>
            </w:r>
          </w:p>
        </w:tc>
        <w:tc>
          <w:tcPr>
            <w:tcW w:w="473"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50</w:t>
            </w:r>
          </w:p>
        </w:tc>
        <w:tc>
          <w:tcPr>
            <w:tcW w:w="702"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-4.13</w:t>
            </w:r>
          </w:p>
        </w:tc>
        <w:tc>
          <w:tcPr>
            <w:tcW w:w="853"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1.52</w:t>
            </w:r>
          </w:p>
        </w:tc>
        <w:tc>
          <w:tcPr>
            <w:tcW w:w="562"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-0.1682</w:t>
            </w:r>
          </w:p>
        </w:tc>
        <w:tc>
          <w:tcPr>
            <w:tcW w:w="635"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.08550</w:t>
            </w:r>
          </w:p>
        </w:tc>
      </w:tr>
      <w:tr w:rsidR="00774682">
        <w:trPr>
          <w:trHeight w:val="1266"/>
          <w:jc w:val="center"/>
        </w:trPr>
        <w:tc>
          <w:tcPr>
            <w:tcW w:w="668" w:type="dxa"/>
            <w:shd w:val="clear" w:color="auto" w:fill="auto"/>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DAR</w:t>
            </w:r>
          </w:p>
        </w:tc>
        <w:tc>
          <w:tcPr>
            <w:tcW w:w="473"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50</w:t>
            </w:r>
          </w:p>
        </w:tc>
        <w:tc>
          <w:tcPr>
            <w:tcW w:w="702"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.00</w:t>
            </w:r>
          </w:p>
        </w:tc>
        <w:tc>
          <w:tcPr>
            <w:tcW w:w="853"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49.77</w:t>
            </w:r>
          </w:p>
        </w:tc>
        <w:tc>
          <w:tcPr>
            <w:tcW w:w="562"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2.3825</w:t>
            </w:r>
          </w:p>
        </w:tc>
        <w:tc>
          <w:tcPr>
            <w:tcW w:w="635"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.25713</w:t>
            </w:r>
          </w:p>
        </w:tc>
      </w:tr>
      <w:tr w:rsidR="00774682">
        <w:trPr>
          <w:trHeight w:val="360"/>
          <w:jc w:val="center"/>
        </w:trPr>
        <w:tc>
          <w:tcPr>
            <w:tcW w:w="668" w:type="dxa"/>
            <w:shd w:val="clear" w:color="auto" w:fill="auto"/>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Valid N (listwise)</w:t>
            </w:r>
          </w:p>
        </w:tc>
        <w:tc>
          <w:tcPr>
            <w:tcW w:w="473" w:type="dxa"/>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color w:val="010205"/>
                <w:sz w:val="16"/>
                <w:szCs w:val="16"/>
              </w:rPr>
            </w:pPr>
            <w:r>
              <w:rPr>
                <w:rFonts w:ascii="Times New Roman" w:eastAsia="Times New Roman" w:hAnsi="Times New Roman" w:cs="Times New Roman"/>
                <w:color w:val="010205"/>
                <w:sz w:val="16"/>
                <w:szCs w:val="16"/>
              </w:rPr>
              <w:t>50</w:t>
            </w:r>
          </w:p>
        </w:tc>
        <w:tc>
          <w:tcPr>
            <w:tcW w:w="702" w:type="dxa"/>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53" w:type="dxa"/>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562" w:type="dxa"/>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635" w:type="dxa"/>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bl>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Interpretasi uji statistik deskriptif yang terdapat pada tabel 1 adalah sebagai berikut:</w:t>
      </w:r>
    </w:p>
    <w:p w:rsidR="00774682" w:rsidRDefault="00A117D1">
      <w:pPr>
        <w:numPr>
          <w:ilvl w:val="0"/>
          <w:numId w:val="2"/>
        </w:numPr>
        <w:spacing w:line="240" w:lineRule="auto"/>
        <w:ind w:left="284" w:right="2"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analisis deskriptif, variabel implementasi PSAK 72 memiliki nilai minimum sebesar 0, maksimum sebesar 1, dan rata-rata sebesar 0.5. Standar deviasi sebesar 0.50508 menunjukkan bahwa data cenderung bervariasi atau tersebar relatif jauh dar</w:t>
      </w:r>
      <w:r>
        <w:rPr>
          <w:rFonts w:ascii="Times New Roman" w:eastAsia="Times New Roman" w:hAnsi="Times New Roman" w:cs="Times New Roman"/>
          <w:sz w:val="24"/>
          <w:szCs w:val="24"/>
        </w:rPr>
        <w:t>i rata-rata.</w:t>
      </w:r>
    </w:p>
    <w:p w:rsidR="00774682" w:rsidRDefault="00A117D1">
      <w:pPr>
        <w:numPr>
          <w:ilvl w:val="0"/>
          <w:numId w:val="2"/>
        </w:numPr>
        <w:spacing w:line="240" w:lineRule="auto"/>
        <w:ind w:left="284" w:right="2"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analisis deskriptif, variabel Rasio Lancar memiliki nilai minimum sebesar 0 dan maksimum sebesar 410.92. Rata-rata rasio lancar sebesar 12.57 dengan standar deviasi sebesar 59.34217. Nilai maksimum rasio lancar yang cukup tin</w:t>
      </w:r>
      <w:r>
        <w:rPr>
          <w:rFonts w:ascii="Times New Roman" w:eastAsia="Times New Roman" w:hAnsi="Times New Roman" w:cs="Times New Roman"/>
          <w:sz w:val="24"/>
          <w:szCs w:val="24"/>
        </w:rPr>
        <w:t>ggi, terutama berasal dari PT Maharaksa Biru Energi Tbk pada tahun 2020, menunjukkan adanya kemungkinan keberhasilan dalam manajemen likuiditas perusahaan tersebut. Di sisi lain, nilai minimum yang rendah dari Sarana Menara Nusantara Tbk. pada tahun 2020 d</w:t>
      </w:r>
      <w:r>
        <w:rPr>
          <w:rFonts w:ascii="Times New Roman" w:eastAsia="Times New Roman" w:hAnsi="Times New Roman" w:cs="Times New Roman"/>
          <w:sz w:val="24"/>
          <w:szCs w:val="24"/>
        </w:rPr>
        <w:t>apat mengindikasikan adanya masalah likuiditas atau kemampuan perusahaan dalam membayar kewajiban jangka pendek.</w:t>
      </w:r>
    </w:p>
    <w:p w:rsidR="00774682" w:rsidRDefault="00A117D1">
      <w:pPr>
        <w:numPr>
          <w:ilvl w:val="0"/>
          <w:numId w:val="2"/>
        </w:numPr>
        <w:spacing w:line="240" w:lineRule="auto"/>
        <w:ind w:left="284" w:right="2"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analisis deskriptif, variabel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(ROE) memiliki nilai minimum sebesar -4.13 dan maksimum sebesar 1.52. Rata-rat</w:t>
      </w:r>
      <w:r>
        <w:rPr>
          <w:rFonts w:ascii="Times New Roman" w:eastAsia="Times New Roman" w:hAnsi="Times New Roman" w:cs="Times New Roman"/>
          <w:sz w:val="24"/>
          <w:szCs w:val="24"/>
        </w:rPr>
        <w:t>a ROE adalah -0.1682 dengan standar deviasi sebesar 1.01698. Nilai ROE yang negatif menunjukkan bahwa beberapa perusahaan dalam sampel mengalami kerugian atau kinerja yang buruk dalam menghasilkan laba bersih relatif terhadap ekuitasnya. Sementara itu, nil</w:t>
      </w:r>
      <w:r>
        <w:rPr>
          <w:rFonts w:ascii="Times New Roman" w:eastAsia="Times New Roman" w:hAnsi="Times New Roman" w:cs="Times New Roman"/>
          <w:sz w:val="24"/>
          <w:szCs w:val="24"/>
        </w:rPr>
        <w:t>ai maksimum ROE yang relatif tinggi, terutama berasal dari PT Ascet Indonusa Tbk pada tahun 2020, menunjukkan adanya potensi keuntungan yang tinggi relatif terhadap ekuitas perusahaan tersebut. Di sisi lain, nilai minimum ROE yang negatif yang berasal dari</w:t>
      </w:r>
      <w:r>
        <w:rPr>
          <w:rFonts w:ascii="Times New Roman" w:eastAsia="Times New Roman" w:hAnsi="Times New Roman" w:cs="Times New Roman"/>
          <w:sz w:val="24"/>
          <w:szCs w:val="24"/>
        </w:rPr>
        <w:t xml:space="preserve"> PT Garuda Maintenance Facility Aero Asia Tbk pada tahun 2019 mengindikasikan adanya masalah yang signifikan dalam kinerja keuangan perusahaan tersebut.</w:t>
      </w:r>
    </w:p>
    <w:p w:rsidR="00774682" w:rsidRDefault="00A117D1">
      <w:pPr>
        <w:numPr>
          <w:ilvl w:val="0"/>
          <w:numId w:val="2"/>
        </w:numPr>
        <w:spacing w:line="240" w:lineRule="auto"/>
        <w:ind w:left="284" w:right="2"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analisis deskriptif, variabel Debt to Asset Ratio (DAR) memiliki nilai minimum sebesa</w:t>
      </w:r>
      <w:r>
        <w:rPr>
          <w:rFonts w:ascii="Times New Roman" w:eastAsia="Times New Roman" w:hAnsi="Times New Roman" w:cs="Times New Roman"/>
          <w:sz w:val="24"/>
          <w:szCs w:val="24"/>
        </w:rPr>
        <w:t>r 0 dan maksimum sebesar 49.77. Rata-rata DAR adalah 2.3825 dengan standar deviasi sebesar 0.25713. Nilai maksimum DAR yang tinggi, terutama berasal dari Nusa Konstruksi Enjiniring Tbk pada tahun 2019, menunjukkan adanya tingkat utang yang tinggi dibanding</w:t>
      </w:r>
      <w:r>
        <w:rPr>
          <w:rFonts w:ascii="Times New Roman" w:eastAsia="Times New Roman" w:hAnsi="Times New Roman" w:cs="Times New Roman"/>
          <w:sz w:val="24"/>
          <w:szCs w:val="24"/>
        </w:rPr>
        <w:t>kan dengan total aset perusahaan tersebut. Disisi lain, nilai minimum DAR yang rendah dari Sarana Menara Nusantara Tbk pada tahun 2020 mengindikasikan bahwa perusahaan tersebut memiliki tingkat utang yang rendah dibandingkan dengan total asetnya.</w:t>
      </w:r>
    </w:p>
    <w:p w:rsidR="00774682" w:rsidRDefault="00774682">
      <w:pPr>
        <w:spacing w:line="240" w:lineRule="auto"/>
        <w:ind w:right="2" w:firstLine="547"/>
        <w:jc w:val="both"/>
        <w:rPr>
          <w:rFonts w:ascii="Times New Roman" w:eastAsia="Times New Roman" w:hAnsi="Times New Roman" w:cs="Times New Roman"/>
          <w:sz w:val="24"/>
          <w:szCs w:val="24"/>
        </w:rPr>
      </w:pP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Uj</w:t>
      </w:r>
      <w:r>
        <w:rPr>
          <w:rFonts w:ascii="Times New Roman" w:eastAsia="Times New Roman" w:hAnsi="Times New Roman" w:cs="Times New Roman"/>
          <w:b/>
          <w:sz w:val="24"/>
          <w:szCs w:val="24"/>
        </w:rPr>
        <w:t xml:space="preserve">i Normalitas </w:t>
      </w:r>
    </w:p>
    <w:p w:rsidR="00774682" w:rsidRDefault="00A117D1">
      <w:pPr>
        <w:spacing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 </w:t>
      </w:r>
      <w:r>
        <w:rPr>
          <w:rFonts w:ascii="Times New Roman" w:eastAsia="Times New Roman" w:hAnsi="Times New Roman" w:cs="Times New Roman"/>
          <w:b/>
          <w:color w:val="010205"/>
          <w:sz w:val="24"/>
          <w:szCs w:val="24"/>
        </w:rPr>
        <w:t>One-Sample Kolmogorov-Smirnov Test</w:t>
      </w:r>
    </w:p>
    <w:tbl>
      <w:tblPr>
        <w:tblStyle w:val="a2"/>
        <w:tblW w:w="3893" w:type="dxa"/>
        <w:jc w:val="center"/>
        <w:tblBorders>
          <w:top w:val="single" w:sz="6" w:space="0" w:color="152935"/>
          <w:bottom w:val="single" w:sz="6" w:space="0" w:color="152935"/>
          <w:insideH w:val="single" w:sz="6" w:space="0" w:color="152935"/>
        </w:tblBorders>
        <w:tblLayout w:type="fixed"/>
        <w:tblLook w:val="0600" w:firstRow="0" w:lastRow="0" w:firstColumn="0" w:lastColumn="0" w:noHBand="1" w:noVBand="1"/>
      </w:tblPr>
      <w:tblGrid>
        <w:gridCol w:w="800"/>
        <w:gridCol w:w="536"/>
        <w:gridCol w:w="852"/>
        <w:gridCol w:w="852"/>
        <w:gridCol w:w="853"/>
      </w:tblGrid>
      <w:tr w:rsidR="00774682">
        <w:trPr>
          <w:trHeight w:val="109"/>
          <w:jc w:val="center"/>
        </w:trPr>
        <w:tc>
          <w:tcPr>
            <w:tcW w:w="1336" w:type="dxa"/>
            <w:gridSpan w:val="2"/>
            <w:shd w:val="clear" w:color="auto" w:fill="FFFFFF"/>
            <w:tcMar>
              <w:top w:w="0" w:type="dxa"/>
              <w:left w:w="0" w:type="dxa"/>
              <w:bottom w:w="0" w:type="dxa"/>
              <w:right w:w="0" w:type="dxa"/>
            </w:tcMar>
            <w:vAlign w:val="bottom"/>
          </w:tcPr>
          <w:p w:rsidR="00774682" w:rsidRDefault="00A117D1">
            <w:pPr>
              <w:spacing w:line="240" w:lineRule="auto"/>
              <w:ind w:right="2"/>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tc>
        <w:tc>
          <w:tcPr>
            <w:tcW w:w="852"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Unstandardized Residual</w:t>
            </w:r>
          </w:p>
        </w:tc>
        <w:tc>
          <w:tcPr>
            <w:tcW w:w="852"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Unstandardized Residual</w:t>
            </w:r>
          </w:p>
        </w:tc>
        <w:tc>
          <w:tcPr>
            <w:tcW w:w="853"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Unstandardized Residual</w:t>
            </w:r>
          </w:p>
        </w:tc>
      </w:tr>
      <w:tr w:rsidR="00774682">
        <w:trPr>
          <w:trHeight w:val="330"/>
          <w:jc w:val="center"/>
        </w:trPr>
        <w:tc>
          <w:tcPr>
            <w:tcW w:w="1336" w:type="dxa"/>
            <w:gridSpan w:val="2"/>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N</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50</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50</w:t>
            </w:r>
          </w:p>
        </w:tc>
        <w:tc>
          <w:tcPr>
            <w:tcW w:w="853"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50</w:t>
            </w:r>
          </w:p>
        </w:tc>
      </w:tr>
      <w:tr w:rsidR="00774682">
        <w:trPr>
          <w:trHeight w:val="45"/>
          <w:jc w:val="center"/>
        </w:trPr>
        <w:tc>
          <w:tcPr>
            <w:tcW w:w="800" w:type="dxa"/>
            <w:vMerge w:val="restart"/>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2"/>
                <w:szCs w:val="12"/>
                <w:vertAlign w:val="superscript"/>
              </w:rPr>
            </w:pPr>
            <w:r>
              <w:rPr>
                <w:rFonts w:ascii="Times New Roman" w:eastAsia="Times New Roman" w:hAnsi="Times New Roman" w:cs="Times New Roman"/>
                <w:sz w:val="12"/>
                <w:szCs w:val="12"/>
              </w:rPr>
              <w:t>Normal Parameters</w:t>
            </w:r>
            <w:r>
              <w:rPr>
                <w:rFonts w:ascii="Times New Roman" w:eastAsia="Times New Roman" w:hAnsi="Times New Roman" w:cs="Times New Roman"/>
                <w:sz w:val="12"/>
                <w:szCs w:val="12"/>
                <w:vertAlign w:val="superscript"/>
              </w:rPr>
              <w:t>al,b</w:t>
            </w:r>
          </w:p>
        </w:tc>
        <w:tc>
          <w:tcPr>
            <w:tcW w:w="536" w:type="dxa"/>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Mean</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.0000000</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.0000000</w:t>
            </w:r>
          </w:p>
        </w:tc>
        <w:tc>
          <w:tcPr>
            <w:tcW w:w="853"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.0000000</w:t>
            </w:r>
          </w:p>
        </w:tc>
      </w:tr>
      <w:tr w:rsidR="00774682">
        <w:trPr>
          <w:trHeight w:val="20"/>
          <w:jc w:val="center"/>
        </w:trPr>
        <w:tc>
          <w:tcPr>
            <w:tcW w:w="800" w:type="dxa"/>
            <w:vMerge/>
            <w:tcMar>
              <w:top w:w="0" w:type="dxa"/>
              <w:left w:w="0" w:type="dxa"/>
              <w:bottom w:w="0" w:type="dxa"/>
              <w:right w:w="0" w:type="dxa"/>
            </w:tcMar>
          </w:tcPr>
          <w:p w:rsidR="00774682" w:rsidRDefault="00774682">
            <w:pPr>
              <w:widowControl w:val="0"/>
              <w:pBdr>
                <w:top w:val="nil"/>
                <w:left w:val="nil"/>
                <w:bottom w:val="nil"/>
                <w:right w:val="nil"/>
                <w:between w:val="nil"/>
              </w:pBdr>
              <w:rPr>
                <w:rFonts w:ascii="Times New Roman" w:eastAsia="Times New Roman" w:hAnsi="Times New Roman" w:cs="Times New Roman"/>
                <w:color w:val="010205"/>
                <w:sz w:val="12"/>
                <w:szCs w:val="12"/>
              </w:rPr>
            </w:pPr>
          </w:p>
        </w:tc>
        <w:tc>
          <w:tcPr>
            <w:tcW w:w="536" w:type="dxa"/>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Std. Deviation</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.50869116</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.08502426</w:t>
            </w:r>
          </w:p>
        </w:tc>
        <w:tc>
          <w:tcPr>
            <w:tcW w:w="853"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.25707926</w:t>
            </w:r>
          </w:p>
        </w:tc>
      </w:tr>
      <w:tr w:rsidR="00774682">
        <w:trPr>
          <w:trHeight w:val="45"/>
          <w:jc w:val="center"/>
        </w:trPr>
        <w:tc>
          <w:tcPr>
            <w:tcW w:w="800" w:type="dxa"/>
            <w:vMerge w:val="restart"/>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Most Extreme Differences</w:t>
            </w:r>
          </w:p>
        </w:tc>
        <w:tc>
          <w:tcPr>
            <w:tcW w:w="536" w:type="dxa"/>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Absolute</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.080</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.106</w:t>
            </w:r>
          </w:p>
        </w:tc>
        <w:tc>
          <w:tcPr>
            <w:tcW w:w="853"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.120</w:t>
            </w:r>
          </w:p>
        </w:tc>
      </w:tr>
      <w:tr w:rsidR="00774682">
        <w:trPr>
          <w:trHeight w:val="20"/>
          <w:jc w:val="center"/>
        </w:trPr>
        <w:tc>
          <w:tcPr>
            <w:tcW w:w="800" w:type="dxa"/>
            <w:vMerge/>
            <w:tcMar>
              <w:top w:w="0" w:type="dxa"/>
              <w:left w:w="0" w:type="dxa"/>
              <w:bottom w:w="0" w:type="dxa"/>
              <w:right w:w="0" w:type="dxa"/>
            </w:tcMar>
          </w:tcPr>
          <w:p w:rsidR="00774682" w:rsidRDefault="00774682">
            <w:pPr>
              <w:widowControl w:val="0"/>
              <w:pBdr>
                <w:top w:val="nil"/>
                <w:left w:val="nil"/>
                <w:bottom w:val="nil"/>
                <w:right w:val="nil"/>
                <w:between w:val="nil"/>
              </w:pBdr>
              <w:rPr>
                <w:rFonts w:ascii="Times New Roman" w:eastAsia="Times New Roman" w:hAnsi="Times New Roman" w:cs="Times New Roman"/>
                <w:color w:val="010205"/>
                <w:sz w:val="12"/>
                <w:szCs w:val="12"/>
              </w:rPr>
            </w:pPr>
          </w:p>
        </w:tc>
        <w:tc>
          <w:tcPr>
            <w:tcW w:w="536" w:type="dxa"/>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Positive</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.080</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.106</w:t>
            </w:r>
          </w:p>
        </w:tc>
        <w:tc>
          <w:tcPr>
            <w:tcW w:w="853"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.120</w:t>
            </w:r>
          </w:p>
        </w:tc>
      </w:tr>
      <w:tr w:rsidR="00774682">
        <w:trPr>
          <w:trHeight w:val="20"/>
          <w:jc w:val="center"/>
        </w:trPr>
        <w:tc>
          <w:tcPr>
            <w:tcW w:w="800" w:type="dxa"/>
            <w:vMerge/>
            <w:tcMar>
              <w:top w:w="0" w:type="dxa"/>
              <w:left w:w="0" w:type="dxa"/>
              <w:bottom w:w="0" w:type="dxa"/>
              <w:right w:w="0" w:type="dxa"/>
            </w:tcMar>
          </w:tcPr>
          <w:p w:rsidR="00774682" w:rsidRDefault="00774682">
            <w:pPr>
              <w:widowControl w:val="0"/>
              <w:pBdr>
                <w:top w:val="nil"/>
                <w:left w:val="nil"/>
                <w:bottom w:val="nil"/>
                <w:right w:val="nil"/>
                <w:between w:val="nil"/>
              </w:pBdr>
              <w:rPr>
                <w:rFonts w:ascii="Times New Roman" w:eastAsia="Times New Roman" w:hAnsi="Times New Roman" w:cs="Times New Roman"/>
                <w:color w:val="010205"/>
                <w:sz w:val="12"/>
                <w:szCs w:val="12"/>
              </w:rPr>
            </w:pPr>
          </w:p>
        </w:tc>
        <w:tc>
          <w:tcPr>
            <w:tcW w:w="536" w:type="dxa"/>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Negative</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-.073</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-.095</w:t>
            </w:r>
          </w:p>
        </w:tc>
        <w:tc>
          <w:tcPr>
            <w:tcW w:w="853"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-.107</w:t>
            </w:r>
          </w:p>
        </w:tc>
      </w:tr>
      <w:tr w:rsidR="00774682">
        <w:trPr>
          <w:trHeight w:val="45"/>
          <w:jc w:val="center"/>
        </w:trPr>
        <w:tc>
          <w:tcPr>
            <w:tcW w:w="1336" w:type="dxa"/>
            <w:gridSpan w:val="2"/>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Test Statistic</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.080</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.106</w:t>
            </w:r>
          </w:p>
        </w:tc>
        <w:tc>
          <w:tcPr>
            <w:tcW w:w="853"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.120</w:t>
            </w:r>
          </w:p>
        </w:tc>
      </w:tr>
      <w:tr w:rsidR="00774682">
        <w:trPr>
          <w:trHeight w:val="45"/>
          <w:jc w:val="center"/>
        </w:trPr>
        <w:tc>
          <w:tcPr>
            <w:tcW w:w="1336" w:type="dxa"/>
            <w:gridSpan w:val="2"/>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Asymp. Sig. (2-tailed)</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vertAlign w:val="superscript"/>
              </w:rPr>
            </w:pPr>
            <w:r>
              <w:rPr>
                <w:rFonts w:ascii="Times New Roman" w:eastAsia="Times New Roman" w:hAnsi="Times New Roman" w:cs="Times New Roman"/>
                <w:color w:val="010205"/>
                <w:sz w:val="12"/>
                <w:szCs w:val="12"/>
              </w:rPr>
              <w:t>.200</w:t>
            </w:r>
            <w:r>
              <w:rPr>
                <w:rFonts w:ascii="Times New Roman" w:eastAsia="Times New Roman" w:hAnsi="Times New Roman" w:cs="Times New Roman"/>
                <w:color w:val="010205"/>
                <w:sz w:val="12"/>
                <w:szCs w:val="12"/>
                <w:vertAlign w:val="superscript"/>
              </w:rPr>
              <w:t>c,d</w:t>
            </w:r>
          </w:p>
        </w:tc>
        <w:tc>
          <w:tcPr>
            <w:tcW w:w="85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vertAlign w:val="superscript"/>
              </w:rPr>
            </w:pPr>
            <w:r>
              <w:rPr>
                <w:rFonts w:ascii="Times New Roman" w:eastAsia="Times New Roman" w:hAnsi="Times New Roman" w:cs="Times New Roman"/>
                <w:color w:val="010205"/>
                <w:sz w:val="12"/>
                <w:szCs w:val="12"/>
              </w:rPr>
              <w:t>.200</w:t>
            </w:r>
            <w:r>
              <w:rPr>
                <w:rFonts w:ascii="Times New Roman" w:eastAsia="Times New Roman" w:hAnsi="Times New Roman" w:cs="Times New Roman"/>
                <w:color w:val="010205"/>
                <w:sz w:val="12"/>
                <w:szCs w:val="12"/>
                <w:vertAlign w:val="superscript"/>
              </w:rPr>
              <w:t>c,d</w:t>
            </w:r>
          </w:p>
        </w:tc>
        <w:tc>
          <w:tcPr>
            <w:tcW w:w="853"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color w:val="010205"/>
                <w:sz w:val="12"/>
                <w:szCs w:val="12"/>
                <w:vertAlign w:val="superscript"/>
              </w:rPr>
            </w:pPr>
            <w:r>
              <w:rPr>
                <w:rFonts w:ascii="Times New Roman" w:eastAsia="Times New Roman" w:hAnsi="Times New Roman" w:cs="Times New Roman"/>
                <w:color w:val="010205"/>
                <w:sz w:val="12"/>
                <w:szCs w:val="12"/>
              </w:rPr>
              <w:t>.067</w:t>
            </w:r>
            <w:r>
              <w:rPr>
                <w:rFonts w:ascii="Times New Roman" w:eastAsia="Times New Roman" w:hAnsi="Times New Roman" w:cs="Times New Roman"/>
                <w:color w:val="010205"/>
                <w:sz w:val="12"/>
                <w:szCs w:val="12"/>
                <w:vertAlign w:val="superscript"/>
              </w:rPr>
              <w:t>c</w:t>
            </w:r>
          </w:p>
        </w:tc>
      </w:tr>
      <w:tr w:rsidR="00774682">
        <w:trPr>
          <w:trHeight w:val="45"/>
          <w:jc w:val="center"/>
        </w:trPr>
        <w:tc>
          <w:tcPr>
            <w:tcW w:w="3893" w:type="dxa"/>
            <w:gridSpan w:val="5"/>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al. Test distribution is Normal.</w:t>
            </w:r>
          </w:p>
        </w:tc>
      </w:tr>
      <w:tr w:rsidR="00774682">
        <w:trPr>
          <w:trHeight w:val="45"/>
          <w:jc w:val="center"/>
        </w:trPr>
        <w:tc>
          <w:tcPr>
            <w:tcW w:w="3893" w:type="dxa"/>
            <w:gridSpan w:val="5"/>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b. Calculated from data.</w:t>
            </w:r>
          </w:p>
        </w:tc>
      </w:tr>
      <w:tr w:rsidR="00774682">
        <w:trPr>
          <w:trHeight w:val="45"/>
          <w:jc w:val="center"/>
        </w:trPr>
        <w:tc>
          <w:tcPr>
            <w:tcW w:w="3893" w:type="dxa"/>
            <w:gridSpan w:val="5"/>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c. Lilliefors Significance Correction.</w:t>
            </w:r>
          </w:p>
        </w:tc>
      </w:tr>
      <w:tr w:rsidR="00774682">
        <w:trPr>
          <w:trHeight w:val="45"/>
          <w:jc w:val="center"/>
        </w:trPr>
        <w:tc>
          <w:tcPr>
            <w:tcW w:w="3893" w:type="dxa"/>
            <w:gridSpan w:val="5"/>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color w:val="010205"/>
                <w:sz w:val="12"/>
                <w:szCs w:val="12"/>
              </w:rPr>
            </w:pPr>
            <w:r>
              <w:rPr>
                <w:rFonts w:ascii="Times New Roman" w:eastAsia="Times New Roman" w:hAnsi="Times New Roman" w:cs="Times New Roman"/>
                <w:color w:val="010205"/>
                <w:sz w:val="12"/>
                <w:szCs w:val="12"/>
              </w:rPr>
              <w:t>d. This is al lower bound of the true significance.</w:t>
            </w:r>
          </w:p>
        </w:tc>
      </w:tr>
    </w:tbl>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uji normalitas menggunakan Kolmogorov-Smirnov (KS) menunjukkan bahwa nilai p-nilai (p-value) untuk semua variabel adalah lebih besar dari 0.05. Hal ini mengi</w:t>
      </w:r>
      <w:r>
        <w:rPr>
          <w:rFonts w:ascii="Times New Roman" w:eastAsia="Times New Roman" w:hAnsi="Times New Roman" w:cs="Times New Roman"/>
          <w:sz w:val="24"/>
          <w:szCs w:val="24"/>
        </w:rPr>
        <w:t>ndikasikan bahwa data pada variabel-variabel tersebut dapat diasumsikan berdistribusi normal. Dengan demikian, asumsi normalitas terpenuhi dan dapat dilanjutkan ke analisis lanjutan yang membutuhkan asumsi tersebut.</w:t>
      </w:r>
    </w:p>
    <w:p w:rsidR="00774682" w:rsidRDefault="00774682">
      <w:pPr>
        <w:spacing w:line="240" w:lineRule="auto"/>
        <w:ind w:right="2" w:firstLine="547"/>
        <w:jc w:val="both"/>
        <w:rPr>
          <w:rFonts w:ascii="Times New Roman" w:eastAsia="Times New Roman" w:hAnsi="Times New Roman" w:cs="Times New Roman"/>
          <w:sz w:val="24"/>
          <w:szCs w:val="24"/>
        </w:rPr>
      </w:pP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Uji Heteroskedastisitas </w:t>
      </w:r>
    </w:p>
    <w:p w:rsidR="00774682" w:rsidRDefault="00A117D1">
      <w:pPr>
        <w:spacing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 Hasil uji Uji Gleser</w:t>
      </w:r>
    </w:p>
    <w:tbl>
      <w:tblPr>
        <w:tblStyle w:val="a3"/>
        <w:tblW w:w="3893" w:type="dxa"/>
        <w:jc w:val="center"/>
        <w:tblBorders>
          <w:top w:val="nil"/>
          <w:left w:val="nil"/>
          <w:bottom w:val="nil"/>
          <w:right w:val="nil"/>
          <w:insideH w:val="nil"/>
          <w:insideV w:val="nil"/>
        </w:tblBorders>
        <w:tblLayout w:type="fixed"/>
        <w:tblLook w:val="0600" w:firstRow="0" w:lastRow="0" w:firstColumn="0" w:lastColumn="0" w:noHBand="1" w:noVBand="1"/>
      </w:tblPr>
      <w:tblGrid>
        <w:gridCol w:w="3145"/>
        <w:gridCol w:w="748"/>
      </w:tblGrid>
      <w:tr w:rsidR="00774682">
        <w:trPr>
          <w:trHeight w:val="285"/>
          <w:jc w:val="center"/>
        </w:trPr>
        <w:tc>
          <w:tcPr>
            <w:tcW w:w="3145" w:type="dxa"/>
            <w:tcBorders>
              <w:top w:val="single" w:sz="6" w:space="0" w:color="000000"/>
              <w:bottom w:val="single" w:sz="6" w:space="0" w:color="152935"/>
            </w:tcBorders>
            <w:tcMar>
              <w:top w:w="0" w:type="dxa"/>
              <w:bottom w:w="0" w:type="dxa"/>
            </w:tcMar>
          </w:tcPr>
          <w:p w:rsidR="00774682" w:rsidRDefault="00A117D1">
            <w:pPr>
              <w:spacing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Variabel</w:t>
            </w:r>
          </w:p>
        </w:tc>
        <w:tc>
          <w:tcPr>
            <w:tcW w:w="748" w:type="dxa"/>
            <w:tcBorders>
              <w:top w:val="single" w:sz="6" w:space="0" w:color="000000"/>
              <w:bottom w:val="single" w:sz="6" w:space="0" w:color="152935"/>
            </w:tcBorders>
            <w:tcMar>
              <w:top w:w="0" w:type="dxa"/>
              <w:bottom w:w="0" w:type="dxa"/>
            </w:tcMar>
          </w:tcPr>
          <w:p w:rsidR="00774682" w:rsidRDefault="00A117D1">
            <w:pPr>
              <w:spacing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774682">
        <w:trPr>
          <w:trHeight w:val="285"/>
          <w:jc w:val="center"/>
        </w:trPr>
        <w:tc>
          <w:tcPr>
            <w:tcW w:w="3145" w:type="dxa"/>
            <w:tcBorders>
              <w:top w:val="single" w:sz="6" w:space="0" w:color="152935"/>
              <w:bottom w:val="single" w:sz="6" w:space="0" w:color="152935"/>
            </w:tcBorders>
            <w:tcMar>
              <w:top w:w="0" w:type="dxa"/>
              <w:bottom w:w="0" w:type="dxa"/>
            </w:tcMar>
          </w:tcPr>
          <w:p w:rsidR="00774682" w:rsidRDefault="00A117D1">
            <w:pPr>
              <w:spacing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Current Ratio (X1)</w:t>
            </w:r>
          </w:p>
        </w:tc>
        <w:tc>
          <w:tcPr>
            <w:tcW w:w="748" w:type="dxa"/>
            <w:tcBorders>
              <w:top w:val="single" w:sz="6" w:space="0" w:color="152935"/>
              <w:bottom w:val="single" w:sz="6" w:space="0" w:color="152935"/>
            </w:tcBorders>
            <w:tcMar>
              <w:top w:w="0" w:type="dxa"/>
              <w:bottom w:w="0" w:type="dxa"/>
            </w:tcMar>
          </w:tcPr>
          <w:p w:rsidR="00774682" w:rsidRDefault="00A117D1">
            <w:pPr>
              <w:spacing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.571</w:t>
            </w:r>
          </w:p>
        </w:tc>
      </w:tr>
      <w:tr w:rsidR="00774682">
        <w:trPr>
          <w:trHeight w:val="270"/>
          <w:jc w:val="center"/>
        </w:trPr>
        <w:tc>
          <w:tcPr>
            <w:tcW w:w="3145" w:type="dxa"/>
            <w:tcBorders>
              <w:top w:val="single" w:sz="6" w:space="0" w:color="152935"/>
              <w:bottom w:val="single" w:sz="6" w:space="0" w:color="152935"/>
            </w:tcBorders>
            <w:tcMar>
              <w:top w:w="0" w:type="dxa"/>
              <w:bottom w:w="0" w:type="dxa"/>
            </w:tcMar>
          </w:tcPr>
          <w:p w:rsidR="00774682" w:rsidRDefault="00A117D1">
            <w:pPr>
              <w:spacing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Return On Equity (X2)</w:t>
            </w:r>
          </w:p>
        </w:tc>
        <w:tc>
          <w:tcPr>
            <w:tcW w:w="748" w:type="dxa"/>
            <w:tcBorders>
              <w:top w:val="single" w:sz="6" w:space="0" w:color="152935"/>
              <w:bottom w:val="single" w:sz="6" w:space="0" w:color="152935"/>
            </w:tcBorders>
            <w:tcMar>
              <w:top w:w="0" w:type="dxa"/>
              <w:bottom w:w="0" w:type="dxa"/>
            </w:tcMar>
          </w:tcPr>
          <w:p w:rsidR="00774682" w:rsidRDefault="00A117D1">
            <w:pPr>
              <w:spacing w:line="240" w:lineRule="auto"/>
              <w:ind w:right="2"/>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.555</w:t>
            </w:r>
          </w:p>
        </w:tc>
      </w:tr>
      <w:tr w:rsidR="00774682">
        <w:trPr>
          <w:trHeight w:val="285"/>
          <w:jc w:val="center"/>
        </w:trPr>
        <w:tc>
          <w:tcPr>
            <w:tcW w:w="3145" w:type="dxa"/>
            <w:tcBorders>
              <w:top w:val="single" w:sz="6" w:space="0" w:color="152935"/>
              <w:bottom w:val="single" w:sz="6" w:space="0" w:color="000000"/>
            </w:tcBorders>
            <w:tcMar>
              <w:top w:w="0" w:type="dxa"/>
              <w:bottom w:w="0" w:type="dxa"/>
            </w:tcMar>
          </w:tcPr>
          <w:p w:rsidR="00774682" w:rsidRDefault="00A117D1">
            <w:pPr>
              <w:spacing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Debt to Assets Ratio (X3)</w:t>
            </w:r>
          </w:p>
        </w:tc>
        <w:tc>
          <w:tcPr>
            <w:tcW w:w="748" w:type="dxa"/>
            <w:tcBorders>
              <w:top w:val="single" w:sz="6" w:space="0" w:color="152935"/>
              <w:bottom w:val="single" w:sz="6" w:space="0" w:color="000000"/>
            </w:tcBorders>
            <w:tcMar>
              <w:top w:w="0" w:type="dxa"/>
              <w:bottom w:w="0" w:type="dxa"/>
            </w:tcMar>
          </w:tcPr>
          <w:p w:rsidR="00774682" w:rsidRDefault="00A117D1">
            <w:pPr>
              <w:spacing w:line="240" w:lineRule="auto"/>
              <w:ind w:right="2"/>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.925</w:t>
            </w:r>
          </w:p>
        </w:tc>
      </w:tr>
    </w:tbl>
    <w:p w:rsidR="00774682" w:rsidRDefault="00A117D1">
      <w:pPr>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Hasil uji heteroskedastisitas menggunakan uji Gleser menunjukkan bahwa nilai p-nilai (p-value) lebih besar dari 0.05. Hal ini menunjukkan bahwa</w:t>
      </w:r>
      <w:r>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highlight w:val="white"/>
        </w:rPr>
        <w:t>tidak terdapat bukti yang cukup untuk menolak a</w:t>
      </w:r>
      <w:r>
        <w:rPr>
          <w:rFonts w:ascii="Times New Roman" w:eastAsia="Times New Roman" w:hAnsi="Times New Roman" w:cs="Times New Roman"/>
          <w:color w:val="0D0D0D"/>
          <w:sz w:val="24"/>
          <w:szCs w:val="24"/>
        </w:rPr>
        <w:t>s</w:t>
      </w:r>
      <w:r>
        <w:rPr>
          <w:rFonts w:ascii="Times New Roman" w:eastAsia="Times New Roman" w:hAnsi="Times New Roman" w:cs="Times New Roman"/>
          <w:color w:val="0D0D0D"/>
          <w:sz w:val="24"/>
          <w:szCs w:val="24"/>
          <w:highlight w:val="white"/>
        </w:rPr>
        <w:t>umsi homoskedastisitas, yang artinya variabilitas dari variabel-</w:t>
      </w:r>
      <w:r>
        <w:rPr>
          <w:rFonts w:ascii="Times New Roman" w:eastAsia="Times New Roman" w:hAnsi="Times New Roman" w:cs="Times New Roman"/>
          <w:color w:val="0D0D0D"/>
          <w:sz w:val="24"/>
          <w:szCs w:val="24"/>
          <w:highlight w:val="white"/>
        </w:rPr>
        <w:t>variabel tersebut tidak berbeda secara signifikan di berbagai tingkat nilai variabel independen. Dengan demikian, asumsi homoskedastisitas terpenuhi dalam analisis data.</w:t>
      </w:r>
    </w:p>
    <w:p w:rsidR="00774682" w:rsidRDefault="00774682">
      <w:pPr>
        <w:spacing w:line="240" w:lineRule="auto"/>
        <w:ind w:right="2"/>
        <w:jc w:val="both"/>
        <w:rPr>
          <w:rFonts w:ascii="Times New Roman" w:eastAsia="Times New Roman" w:hAnsi="Times New Roman" w:cs="Times New Roman"/>
          <w:sz w:val="24"/>
          <w:szCs w:val="24"/>
        </w:rPr>
      </w:pP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Uji Autokorelasi </w:t>
      </w:r>
    </w:p>
    <w:p w:rsidR="00774682" w:rsidRDefault="00A117D1">
      <w:pPr>
        <w:spacing w:line="240" w:lineRule="auto"/>
        <w:ind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Model Summary</w:t>
      </w:r>
    </w:p>
    <w:tbl>
      <w:tblPr>
        <w:tblStyle w:val="a4"/>
        <w:tblW w:w="3892" w:type="dxa"/>
        <w:jc w:val="center"/>
        <w:tblBorders>
          <w:top w:val="nil"/>
          <w:left w:val="nil"/>
          <w:bottom w:val="nil"/>
          <w:right w:val="nil"/>
          <w:insideH w:val="nil"/>
          <w:insideV w:val="nil"/>
        </w:tblBorders>
        <w:tblLayout w:type="fixed"/>
        <w:tblLook w:val="0600" w:firstRow="0" w:lastRow="0" w:firstColumn="0" w:lastColumn="0" w:noHBand="1" w:noVBand="1"/>
      </w:tblPr>
      <w:tblGrid>
        <w:gridCol w:w="562"/>
        <w:gridCol w:w="452"/>
        <w:gridCol w:w="617"/>
        <w:gridCol w:w="798"/>
        <w:gridCol w:w="772"/>
        <w:gridCol w:w="691"/>
      </w:tblGrid>
      <w:tr w:rsidR="00774682">
        <w:trPr>
          <w:trHeight w:val="45"/>
          <w:jc w:val="center"/>
        </w:trPr>
        <w:tc>
          <w:tcPr>
            <w:tcW w:w="563" w:type="dxa"/>
            <w:tcBorders>
              <w:top w:val="single" w:sz="6" w:space="0" w:color="152935"/>
              <w:bottom w:val="single" w:sz="6" w:space="0" w:color="152935"/>
            </w:tcBorders>
            <w:shd w:val="clear" w:color="auto" w:fill="FFFFFF"/>
            <w:tcMar>
              <w:top w:w="0" w:type="dxa"/>
              <w:left w:w="0" w:type="dxa"/>
              <w:bottom w:w="0" w:type="dxa"/>
              <w:right w:w="0" w:type="dxa"/>
            </w:tcMar>
            <w:vAlign w:val="bottom"/>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Model</w:t>
            </w:r>
          </w:p>
        </w:tc>
        <w:tc>
          <w:tcPr>
            <w:tcW w:w="452" w:type="dxa"/>
            <w:tcBorders>
              <w:top w:val="single" w:sz="6" w:space="0" w:color="152935"/>
              <w:bottom w:val="single" w:sz="6" w:space="0" w:color="152935"/>
              <w:right w:val="single" w:sz="6" w:space="0" w:color="E0E0E0"/>
            </w:tcBorders>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w:t>
            </w:r>
          </w:p>
        </w:tc>
        <w:tc>
          <w:tcPr>
            <w:tcW w:w="617" w:type="dxa"/>
            <w:tcBorders>
              <w:top w:val="single" w:sz="6" w:space="0" w:color="152935"/>
              <w:left w:val="single" w:sz="6" w:space="0" w:color="E0E0E0"/>
              <w:bottom w:val="single" w:sz="6" w:space="0" w:color="152935"/>
              <w:right w:val="single" w:sz="6" w:space="0" w:color="E0E0E0"/>
            </w:tcBorders>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 Square</w:t>
            </w:r>
          </w:p>
        </w:tc>
        <w:tc>
          <w:tcPr>
            <w:tcW w:w="798" w:type="dxa"/>
            <w:tcBorders>
              <w:top w:val="single" w:sz="6" w:space="0" w:color="152935"/>
              <w:left w:val="single" w:sz="6" w:space="0" w:color="E0E0E0"/>
              <w:bottom w:val="single" w:sz="6" w:space="0" w:color="152935"/>
              <w:right w:val="single" w:sz="6" w:space="0" w:color="E0E0E0"/>
            </w:tcBorders>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Adjusted R Square</w:t>
            </w:r>
          </w:p>
        </w:tc>
        <w:tc>
          <w:tcPr>
            <w:tcW w:w="772" w:type="dxa"/>
            <w:tcBorders>
              <w:top w:val="single" w:sz="6" w:space="0" w:color="152935"/>
              <w:left w:val="single" w:sz="6" w:space="0" w:color="E0E0E0"/>
              <w:bottom w:val="single" w:sz="6" w:space="0" w:color="152935"/>
              <w:right w:val="single" w:sz="6" w:space="0" w:color="E0E0E0"/>
            </w:tcBorders>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Std. Error of the Estimate</w:t>
            </w:r>
          </w:p>
        </w:tc>
        <w:tc>
          <w:tcPr>
            <w:tcW w:w="691" w:type="dxa"/>
            <w:tcBorders>
              <w:top w:val="single" w:sz="6" w:space="0" w:color="152935"/>
              <w:left w:val="single" w:sz="6" w:space="0" w:color="E0E0E0"/>
              <w:bottom w:val="single" w:sz="6" w:space="0" w:color="152935"/>
            </w:tcBorders>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Durbin-Watson</w:t>
            </w:r>
          </w:p>
        </w:tc>
      </w:tr>
      <w:tr w:rsidR="00774682">
        <w:trPr>
          <w:trHeight w:val="45"/>
          <w:jc w:val="center"/>
        </w:trPr>
        <w:tc>
          <w:tcPr>
            <w:tcW w:w="563" w:type="dxa"/>
            <w:tcBorders>
              <w:top w:val="single" w:sz="6" w:space="0" w:color="152935"/>
              <w:bottom w:val="single" w:sz="6" w:space="0" w:color="152935"/>
            </w:tcBorders>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452" w:type="dxa"/>
            <w:tcBorders>
              <w:top w:val="single" w:sz="6" w:space="0" w:color="152935"/>
              <w:bottom w:val="single" w:sz="6" w:space="0" w:color="152935"/>
              <w:right w:val="single" w:sz="6" w:space="0" w:color="E0E0E0"/>
            </w:tcBorders>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rPr>
              <w:t>.556</w:t>
            </w:r>
            <w:r>
              <w:rPr>
                <w:rFonts w:ascii="Times New Roman" w:eastAsia="Times New Roman" w:hAnsi="Times New Roman" w:cs="Times New Roman"/>
                <w:sz w:val="16"/>
                <w:szCs w:val="16"/>
                <w:vertAlign w:val="superscript"/>
              </w:rPr>
              <w:t>al</w:t>
            </w:r>
          </w:p>
        </w:tc>
        <w:tc>
          <w:tcPr>
            <w:tcW w:w="617" w:type="dxa"/>
            <w:tcBorders>
              <w:top w:val="single" w:sz="6" w:space="0" w:color="152935"/>
              <w:left w:val="single" w:sz="6" w:space="0" w:color="E0E0E0"/>
              <w:bottom w:val="single" w:sz="6" w:space="0" w:color="152935"/>
              <w:right w:val="single" w:sz="6" w:space="0" w:color="E0E0E0"/>
            </w:tcBorders>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.309</w:t>
            </w:r>
          </w:p>
        </w:tc>
        <w:tc>
          <w:tcPr>
            <w:tcW w:w="798" w:type="dxa"/>
            <w:tcBorders>
              <w:top w:val="single" w:sz="6" w:space="0" w:color="152935"/>
              <w:left w:val="single" w:sz="6" w:space="0" w:color="E0E0E0"/>
              <w:bottom w:val="single" w:sz="6" w:space="0" w:color="152935"/>
              <w:right w:val="single" w:sz="6" w:space="0" w:color="E0E0E0"/>
            </w:tcBorders>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.295</w:t>
            </w:r>
          </w:p>
        </w:tc>
        <w:tc>
          <w:tcPr>
            <w:tcW w:w="772" w:type="dxa"/>
            <w:tcBorders>
              <w:top w:val="single" w:sz="6" w:space="0" w:color="152935"/>
              <w:left w:val="single" w:sz="6" w:space="0" w:color="E0E0E0"/>
              <w:bottom w:val="single" w:sz="6" w:space="0" w:color="152935"/>
              <w:right w:val="single" w:sz="6" w:space="0" w:color="E0E0E0"/>
            </w:tcBorders>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.51396</w:t>
            </w:r>
          </w:p>
        </w:tc>
        <w:tc>
          <w:tcPr>
            <w:tcW w:w="691" w:type="dxa"/>
            <w:tcBorders>
              <w:top w:val="single" w:sz="6" w:space="0" w:color="152935"/>
              <w:left w:val="single" w:sz="6" w:space="0" w:color="E0E0E0"/>
              <w:bottom w:val="single" w:sz="6" w:space="0" w:color="152935"/>
            </w:tcBorders>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1.781</w:t>
            </w:r>
          </w:p>
        </w:tc>
      </w:tr>
      <w:tr w:rsidR="00774682">
        <w:trPr>
          <w:trHeight w:val="45"/>
          <w:jc w:val="center"/>
        </w:trPr>
        <w:tc>
          <w:tcPr>
            <w:tcW w:w="3893" w:type="dxa"/>
            <w:gridSpan w:val="6"/>
            <w:tcBorders>
              <w:top w:val="single" w:sz="6" w:space="0" w:color="152935"/>
              <w:bottom w:val="single" w:sz="6" w:space="0" w:color="152935"/>
            </w:tcBorders>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 Predictors: (Constant), PSAK72</w:t>
            </w:r>
          </w:p>
        </w:tc>
      </w:tr>
      <w:tr w:rsidR="00774682">
        <w:trPr>
          <w:trHeight w:val="45"/>
          <w:jc w:val="center"/>
        </w:trPr>
        <w:tc>
          <w:tcPr>
            <w:tcW w:w="3893" w:type="dxa"/>
            <w:gridSpan w:val="6"/>
            <w:tcBorders>
              <w:top w:val="single" w:sz="6" w:space="0" w:color="152935"/>
              <w:bottom w:val="single" w:sz="6" w:space="0" w:color="152935"/>
            </w:tcBorders>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b. Dependent Variable: Rasio Lancar</w:t>
            </w:r>
          </w:p>
        </w:tc>
      </w:tr>
    </w:tbl>
    <w:p w:rsidR="00774682" w:rsidRDefault="00A117D1">
      <w:pPr>
        <w:spacing w:line="240" w:lineRule="auto"/>
        <w:ind w:right="2"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uji autokorelasi Durbin-Watson (dW) menunjukkan nilai sebesar 1.781 untuk variabel Rasio Lancar. Nilai ini terletak di antar dU dan (4-dU), di mana dU adalah sebesar 1.67. Dengan demikian, nilai Durbin-Watson yang diperoleh menunjukkan bahwa tidak te</w:t>
      </w:r>
      <w:r>
        <w:rPr>
          <w:rFonts w:ascii="Times New Roman" w:eastAsia="Times New Roman" w:hAnsi="Times New Roman" w:cs="Times New Roman"/>
          <w:sz w:val="24"/>
          <w:szCs w:val="24"/>
        </w:rPr>
        <w:t>rdapat indikasi autokorelasi positif atau negatif pada variabel Rasio Lancar.</w:t>
      </w:r>
    </w:p>
    <w:tbl>
      <w:tblPr>
        <w:tblStyle w:val="a5"/>
        <w:tblW w:w="3892" w:type="dxa"/>
        <w:tblBorders>
          <w:top w:val="single" w:sz="4" w:space="0" w:color="000000"/>
          <w:bottom w:val="single" w:sz="4" w:space="0" w:color="000000"/>
          <w:insideH w:val="single" w:sz="4" w:space="0" w:color="000000"/>
        </w:tblBorders>
        <w:tblLayout w:type="fixed"/>
        <w:tblLook w:val="0600" w:firstRow="0" w:lastRow="0" w:firstColumn="0" w:lastColumn="0" w:noHBand="1" w:noVBand="1"/>
      </w:tblPr>
      <w:tblGrid>
        <w:gridCol w:w="424"/>
        <w:gridCol w:w="543"/>
        <w:gridCol w:w="583"/>
        <w:gridCol w:w="783"/>
        <w:gridCol w:w="783"/>
        <w:gridCol w:w="776"/>
      </w:tblGrid>
      <w:tr w:rsidR="00774682">
        <w:trPr>
          <w:trHeight w:val="50"/>
        </w:trPr>
        <w:tc>
          <w:tcPr>
            <w:tcW w:w="3893" w:type="dxa"/>
            <w:gridSpan w:val="6"/>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b/>
                <w:sz w:val="14"/>
                <w:szCs w:val="14"/>
                <w:vertAlign w:val="superscript"/>
              </w:rPr>
            </w:pPr>
            <w:r>
              <w:rPr>
                <w:rFonts w:ascii="Times New Roman" w:eastAsia="Times New Roman" w:hAnsi="Times New Roman" w:cs="Times New Roman"/>
                <w:b/>
                <w:sz w:val="14"/>
                <w:szCs w:val="14"/>
              </w:rPr>
              <w:t>Model Summary</w:t>
            </w:r>
          </w:p>
        </w:tc>
      </w:tr>
      <w:tr w:rsidR="00774682">
        <w:trPr>
          <w:trHeight w:val="50"/>
        </w:trPr>
        <w:tc>
          <w:tcPr>
            <w:tcW w:w="425" w:type="dxa"/>
            <w:tcMar>
              <w:top w:w="0" w:type="dxa"/>
              <w:left w:w="0" w:type="dxa"/>
              <w:bottom w:w="0" w:type="dxa"/>
              <w:right w:w="0" w:type="dxa"/>
            </w:tcMar>
            <w:vAlign w:val="bottom"/>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Model</w:t>
            </w:r>
          </w:p>
        </w:tc>
        <w:tc>
          <w:tcPr>
            <w:tcW w:w="543" w:type="dxa"/>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R</w:t>
            </w:r>
          </w:p>
        </w:tc>
        <w:tc>
          <w:tcPr>
            <w:tcW w:w="583" w:type="dxa"/>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R Square</w:t>
            </w:r>
          </w:p>
        </w:tc>
        <w:tc>
          <w:tcPr>
            <w:tcW w:w="783" w:type="dxa"/>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Adjusted R Square</w:t>
            </w:r>
          </w:p>
        </w:tc>
        <w:tc>
          <w:tcPr>
            <w:tcW w:w="783" w:type="dxa"/>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Std. Error of the Estimate</w:t>
            </w:r>
          </w:p>
        </w:tc>
        <w:tc>
          <w:tcPr>
            <w:tcW w:w="776" w:type="dxa"/>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Durbin-Watson</w:t>
            </w:r>
          </w:p>
        </w:tc>
      </w:tr>
      <w:tr w:rsidR="00774682">
        <w:trPr>
          <w:trHeight w:val="50"/>
        </w:trPr>
        <w:tc>
          <w:tcPr>
            <w:tcW w:w="425" w:type="dxa"/>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543" w:type="dxa"/>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vertAlign w:val="superscript"/>
              </w:rPr>
            </w:pPr>
            <w:r>
              <w:rPr>
                <w:rFonts w:ascii="Times New Roman" w:eastAsia="Times New Roman" w:hAnsi="Times New Roman" w:cs="Times New Roman"/>
                <w:sz w:val="14"/>
                <w:szCs w:val="14"/>
              </w:rPr>
              <w:t>.105</w:t>
            </w:r>
            <w:r>
              <w:rPr>
                <w:rFonts w:ascii="Times New Roman" w:eastAsia="Times New Roman" w:hAnsi="Times New Roman" w:cs="Times New Roman"/>
                <w:sz w:val="14"/>
                <w:szCs w:val="14"/>
                <w:vertAlign w:val="superscript"/>
              </w:rPr>
              <w:t>al</w:t>
            </w:r>
          </w:p>
        </w:tc>
        <w:tc>
          <w:tcPr>
            <w:tcW w:w="583" w:type="dxa"/>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.011</w:t>
            </w:r>
          </w:p>
        </w:tc>
        <w:tc>
          <w:tcPr>
            <w:tcW w:w="783" w:type="dxa"/>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-.009</w:t>
            </w:r>
          </w:p>
        </w:tc>
        <w:tc>
          <w:tcPr>
            <w:tcW w:w="783" w:type="dxa"/>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.08591</w:t>
            </w:r>
          </w:p>
        </w:tc>
        <w:tc>
          <w:tcPr>
            <w:tcW w:w="776" w:type="dxa"/>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2.134</w:t>
            </w:r>
          </w:p>
        </w:tc>
      </w:tr>
      <w:tr w:rsidR="00774682">
        <w:trPr>
          <w:trHeight w:val="50"/>
        </w:trPr>
        <w:tc>
          <w:tcPr>
            <w:tcW w:w="3893" w:type="dxa"/>
            <w:gridSpan w:val="6"/>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a. Predictors: (Constant), PSAK72</w:t>
            </w:r>
          </w:p>
        </w:tc>
      </w:tr>
      <w:tr w:rsidR="00774682">
        <w:trPr>
          <w:trHeight w:val="50"/>
        </w:trPr>
        <w:tc>
          <w:tcPr>
            <w:tcW w:w="3893" w:type="dxa"/>
            <w:gridSpan w:val="6"/>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b. Dependent Variable: ROE</w:t>
            </w:r>
          </w:p>
        </w:tc>
      </w:tr>
    </w:tbl>
    <w:p w:rsidR="00774682" w:rsidRDefault="00A117D1">
      <w:pPr>
        <w:spacing w:line="240" w:lineRule="auto"/>
        <w:ind w:right="2"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uji autokorelasi Durbin-Watson (dW) menunjukkan nilai sebesar 2.134 untuk variabel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(ROE). Nilai ini teletalk di antara dU dan (4-dU), di mana dU adalah sebesar 1.67. Dengan demikian, nilai Durbin-Watson ya</w:t>
      </w:r>
      <w:r>
        <w:rPr>
          <w:rFonts w:ascii="Times New Roman" w:eastAsia="Times New Roman" w:hAnsi="Times New Roman" w:cs="Times New Roman"/>
          <w:sz w:val="24"/>
          <w:szCs w:val="24"/>
        </w:rPr>
        <w:t>ng diperoleh menunjukkan bahwa tidak terdapat indikasi autokorelasi positif atau negatif pada variabel ROE.</w:t>
      </w:r>
    </w:p>
    <w:tbl>
      <w:tblPr>
        <w:tblStyle w:val="a6"/>
        <w:tblW w:w="3892" w:type="dxa"/>
        <w:jc w:val="center"/>
        <w:tblBorders>
          <w:top w:val="single" w:sz="4" w:space="0" w:color="000000"/>
          <w:bottom w:val="single" w:sz="4" w:space="0" w:color="000000"/>
          <w:insideH w:val="single" w:sz="4" w:space="0" w:color="000000"/>
        </w:tblBorders>
        <w:tblLayout w:type="fixed"/>
        <w:tblLook w:val="0600" w:firstRow="0" w:lastRow="0" w:firstColumn="0" w:lastColumn="0" w:noHBand="1" w:noVBand="1"/>
      </w:tblPr>
      <w:tblGrid>
        <w:gridCol w:w="562"/>
        <w:gridCol w:w="452"/>
        <w:gridCol w:w="617"/>
        <w:gridCol w:w="798"/>
        <w:gridCol w:w="772"/>
        <w:gridCol w:w="691"/>
      </w:tblGrid>
      <w:tr w:rsidR="00774682">
        <w:trPr>
          <w:trHeight w:val="60"/>
          <w:jc w:val="center"/>
        </w:trPr>
        <w:tc>
          <w:tcPr>
            <w:tcW w:w="3893" w:type="dxa"/>
            <w:gridSpan w:val="6"/>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b/>
                <w:sz w:val="18"/>
                <w:szCs w:val="18"/>
                <w:vertAlign w:val="superscript"/>
              </w:rPr>
            </w:pPr>
            <w:r>
              <w:rPr>
                <w:rFonts w:ascii="Times New Roman" w:eastAsia="Times New Roman" w:hAnsi="Times New Roman" w:cs="Times New Roman"/>
                <w:b/>
                <w:sz w:val="18"/>
                <w:szCs w:val="18"/>
              </w:rPr>
              <w:t>Model Summary</w:t>
            </w:r>
            <w:r>
              <w:rPr>
                <w:rFonts w:ascii="Times New Roman" w:eastAsia="Times New Roman" w:hAnsi="Times New Roman" w:cs="Times New Roman"/>
                <w:b/>
                <w:sz w:val="18"/>
                <w:szCs w:val="18"/>
                <w:vertAlign w:val="superscript"/>
              </w:rPr>
              <w:t>b</w:t>
            </w:r>
          </w:p>
        </w:tc>
      </w:tr>
      <w:tr w:rsidR="00774682">
        <w:trPr>
          <w:trHeight w:val="50"/>
          <w:jc w:val="center"/>
        </w:trPr>
        <w:tc>
          <w:tcPr>
            <w:tcW w:w="563" w:type="dxa"/>
            <w:shd w:val="clear" w:color="auto" w:fill="FFFFFF"/>
            <w:tcMar>
              <w:top w:w="0" w:type="dxa"/>
              <w:left w:w="0" w:type="dxa"/>
              <w:bottom w:w="0" w:type="dxa"/>
              <w:right w:w="0" w:type="dxa"/>
            </w:tcMar>
            <w:vAlign w:val="bottom"/>
          </w:tcPr>
          <w:p w:rsidR="00774682" w:rsidRDefault="00A117D1">
            <w:pPr>
              <w:spacing w:line="240" w:lineRule="auto"/>
              <w:ind w:right="2"/>
              <w:rPr>
                <w:rFonts w:ascii="Times New Roman" w:eastAsia="Times New Roman" w:hAnsi="Times New Roman" w:cs="Times New Roman"/>
                <w:sz w:val="18"/>
                <w:szCs w:val="18"/>
              </w:rPr>
            </w:pPr>
            <w:r>
              <w:rPr>
                <w:rFonts w:ascii="Times New Roman" w:eastAsia="Times New Roman" w:hAnsi="Times New Roman" w:cs="Times New Roman"/>
                <w:sz w:val="18"/>
                <w:szCs w:val="18"/>
              </w:rPr>
              <w:t>Model</w:t>
            </w:r>
          </w:p>
        </w:tc>
        <w:tc>
          <w:tcPr>
            <w:tcW w:w="452"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w:t>
            </w:r>
          </w:p>
        </w:tc>
        <w:tc>
          <w:tcPr>
            <w:tcW w:w="617"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 Square</w:t>
            </w:r>
          </w:p>
        </w:tc>
        <w:tc>
          <w:tcPr>
            <w:tcW w:w="798"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Adjusted R Square</w:t>
            </w:r>
          </w:p>
        </w:tc>
        <w:tc>
          <w:tcPr>
            <w:tcW w:w="772"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Std. Error of the Estimate</w:t>
            </w:r>
          </w:p>
        </w:tc>
        <w:tc>
          <w:tcPr>
            <w:tcW w:w="691"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Durbin-Watson</w:t>
            </w:r>
          </w:p>
        </w:tc>
      </w:tr>
      <w:tr w:rsidR="00774682">
        <w:trPr>
          <w:trHeight w:val="50"/>
          <w:jc w:val="center"/>
        </w:trPr>
        <w:tc>
          <w:tcPr>
            <w:tcW w:w="563" w:type="dxa"/>
            <w:tcMar>
              <w:top w:w="0" w:type="dxa"/>
              <w:left w:w="0" w:type="dxa"/>
              <w:bottom w:w="0" w:type="dxa"/>
              <w:right w:w="0" w:type="dxa"/>
            </w:tcMar>
          </w:tcPr>
          <w:p w:rsidR="00774682" w:rsidRDefault="00A117D1">
            <w:pPr>
              <w:spacing w:line="240" w:lineRule="auto"/>
              <w:ind w:right="2"/>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452" w:type="dxa"/>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.019</w:t>
            </w:r>
            <w:r>
              <w:rPr>
                <w:rFonts w:ascii="Times New Roman" w:eastAsia="Times New Roman" w:hAnsi="Times New Roman" w:cs="Times New Roman"/>
                <w:sz w:val="18"/>
                <w:szCs w:val="18"/>
                <w:vertAlign w:val="superscript"/>
              </w:rPr>
              <w:t>al</w:t>
            </w:r>
          </w:p>
        </w:tc>
        <w:tc>
          <w:tcPr>
            <w:tcW w:w="617"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798"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-.020</w:t>
            </w:r>
          </w:p>
        </w:tc>
        <w:tc>
          <w:tcPr>
            <w:tcW w:w="77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.25974</w:t>
            </w:r>
          </w:p>
        </w:tc>
        <w:tc>
          <w:tcPr>
            <w:tcW w:w="691"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1.693</w:t>
            </w:r>
          </w:p>
        </w:tc>
      </w:tr>
      <w:tr w:rsidR="00774682">
        <w:trPr>
          <w:trHeight w:val="50"/>
          <w:jc w:val="center"/>
        </w:trPr>
        <w:tc>
          <w:tcPr>
            <w:tcW w:w="3893" w:type="dxa"/>
            <w:gridSpan w:val="6"/>
            <w:shd w:val="clear" w:color="auto" w:fill="FFFFFF"/>
            <w:tcMar>
              <w:top w:w="0" w:type="dxa"/>
              <w:left w:w="0" w:type="dxa"/>
              <w:bottom w:w="0" w:type="dxa"/>
              <w:right w:w="0" w:type="dxa"/>
            </w:tcMar>
          </w:tcPr>
          <w:p w:rsidR="00774682" w:rsidRDefault="00A117D1">
            <w:pPr>
              <w:spacing w:line="240" w:lineRule="auto"/>
              <w:ind w:right="2"/>
              <w:rPr>
                <w:rFonts w:ascii="Times New Roman" w:eastAsia="Times New Roman" w:hAnsi="Times New Roman" w:cs="Times New Roman"/>
                <w:sz w:val="18"/>
                <w:szCs w:val="18"/>
              </w:rPr>
            </w:pPr>
            <w:r>
              <w:rPr>
                <w:rFonts w:ascii="Times New Roman" w:eastAsia="Times New Roman" w:hAnsi="Times New Roman" w:cs="Times New Roman"/>
                <w:sz w:val="18"/>
                <w:szCs w:val="18"/>
              </w:rPr>
              <w:t>a. Predictors: (Constant), PSAK72</w:t>
            </w:r>
          </w:p>
        </w:tc>
      </w:tr>
      <w:tr w:rsidR="00774682">
        <w:trPr>
          <w:trHeight w:val="50"/>
          <w:jc w:val="center"/>
        </w:trPr>
        <w:tc>
          <w:tcPr>
            <w:tcW w:w="3893" w:type="dxa"/>
            <w:gridSpan w:val="6"/>
            <w:shd w:val="clear" w:color="auto" w:fill="FFFFFF"/>
            <w:tcMar>
              <w:top w:w="0" w:type="dxa"/>
              <w:left w:w="0" w:type="dxa"/>
              <w:bottom w:w="0" w:type="dxa"/>
              <w:right w:w="0" w:type="dxa"/>
            </w:tcMar>
          </w:tcPr>
          <w:p w:rsidR="00774682" w:rsidRDefault="00A117D1">
            <w:pPr>
              <w:spacing w:line="240" w:lineRule="auto"/>
              <w:ind w:right="2"/>
              <w:rPr>
                <w:rFonts w:ascii="Times New Roman" w:eastAsia="Times New Roman" w:hAnsi="Times New Roman" w:cs="Times New Roman"/>
                <w:sz w:val="18"/>
                <w:szCs w:val="18"/>
              </w:rPr>
            </w:pPr>
            <w:r>
              <w:rPr>
                <w:rFonts w:ascii="Times New Roman" w:eastAsia="Times New Roman" w:hAnsi="Times New Roman" w:cs="Times New Roman"/>
                <w:sz w:val="18"/>
                <w:szCs w:val="18"/>
              </w:rPr>
              <w:t>b. Dependent Valrialble: Debt to Asset Raltio</w:t>
            </w:r>
          </w:p>
        </w:tc>
      </w:tr>
    </w:tbl>
    <w:p w:rsidR="00774682" w:rsidRDefault="00A117D1">
      <w:pPr>
        <w:spacing w:line="240" w:lineRule="auto"/>
        <w:ind w:right="2"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uji autokorelasi Durbin-Watson (dW) menunjukkan nilai sebesar 1.693 untuk variabel </w:t>
      </w:r>
      <w:r>
        <w:rPr>
          <w:rFonts w:ascii="Times New Roman" w:eastAsia="Times New Roman" w:hAnsi="Times New Roman" w:cs="Times New Roman"/>
          <w:i/>
          <w:sz w:val="24"/>
          <w:szCs w:val="24"/>
        </w:rPr>
        <w:t>Debt to Asset Ratio</w:t>
      </w:r>
      <w:r>
        <w:rPr>
          <w:rFonts w:ascii="Times New Roman" w:eastAsia="Times New Roman" w:hAnsi="Times New Roman" w:cs="Times New Roman"/>
          <w:sz w:val="24"/>
          <w:szCs w:val="24"/>
        </w:rPr>
        <w:t xml:space="preserve"> (DAR). Nilai ini terletak di antara dU dan (4-dU), di mana dU adalah sebesar 1.67. Dengan demikian, nilai Durbin-Watson yang diperoleh menunjukkan bahwa tidak terdapat indikasi autokorelasi positif atau negatif pada variabel DAR.</w:t>
      </w:r>
    </w:p>
    <w:p w:rsidR="00774682" w:rsidRDefault="00774682">
      <w:pPr>
        <w:spacing w:line="240" w:lineRule="auto"/>
        <w:ind w:right="2" w:firstLine="547"/>
        <w:jc w:val="both"/>
        <w:rPr>
          <w:rFonts w:ascii="Times New Roman" w:eastAsia="Times New Roman" w:hAnsi="Times New Roman" w:cs="Times New Roman"/>
          <w:sz w:val="24"/>
          <w:szCs w:val="24"/>
        </w:rPr>
      </w:pPr>
    </w:p>
    <w:p w:rsidR="00774682" w:rsidRDefault="00A117D1">
      <w:pPr>
        <w:spacing w:line="24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Uji Hipotesis</w:t>
      </w:r>
    </w:p>
    <w:tbl>
      <w:tblPr>
        <w:tblStyle w:val="a7"/>
        <w:tblW w:w="3893" w:type="dxa"/>
        <w:jc w:val="center"/>
        <w:tblBorders>
          <w:top w:val="single" w:sz="4" w:space="0" w:color="000000"/>
          <w:bottom w:val="single" w:sz="4" w:space="0" w:color="000000"/>
          <w:insideH w:val="single" w:sz="4" w:space="0" w:color="000000"/>
        </w:tblBorders>
        <w:tblLayout w:type="fixed"/>
        <w:tblLook w:val="0600" w:firstRow="0" w:lastRow="0" w:firstColumn="0" w:lastColumn="0" w:noHBand="1" w:noVBand="1"/>
      </w:tblPr>
      <w:tblGrid>
        <w:gridCol w:w="335"/>
        <w:gridCol w:w="595"/>
        <w:gridCol w:w="625"/>
        <w:gridCol w:w="633"/>
        <w:gridCol w:w="736"/>
        <w:gridCol w:w="488"/>
        <w:gridCol w:w="481"/>
      </w:tblGrid>
      <w:tr w:rsidR="00774682">
        <w:trPr>
          <w:trHeight w:val="60"/>
          <w:jc w:val="center"/>
        </w:trPr>
        <w:tc>
          <w:tcPr>
            <w:tcW w:w="3893" w:type="dxa"/>
            <w:gridSpan w:val="7"/>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sz w:val="14"/>
                <w:szCs w:val="14"/>
                <w:vertAlign w:val="superscript"/>
              </w:rPr>
            </w:pPr>
            <w:r>
              <w:rPr>
                <w:rFonts w:ascii="Times New Roman" w:eastAsia="Times New Roman" w:hAnsi="Times New Roman" w:cs="Times New Roman"/>
                <w:sz w:val="14"/>
                <w:szCs w:val="14"/>
              </w:rPr>
              <w:t>Coefficients</w:t>
            </w:r>
          </w:p>
        </w:tc>
      </w:tr>
      <w:tr w:rsidR="00774682">
        <w:trPr>
          <w:trHeight w:val="175"/>
          <w:jc w:val="center"/>
        </w:trPr>
        <w:tc>
          <w:tcPr>
            <w:tcW w:w="930" w:type="dxa"/>
            <w:gridSpan w:val="2"/>
            <w:vMerge w:val="restart"/>
            <w:shd w:val="clear" w:color="auto" w:fill="FFFFFF"/>
            <w:tcMar>
              <w:top w:w="0" w:type="dxa"/>
              <w:left w:w="0" w:type="dxa"/>
              <w:bottom w:w="0" w:type="dxa"/>
              <w:right w:w="0" w:type="dxa"/>
            </w:tcMar>
            <w:vAlign w:val="bottom"/>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Model</w:t>
            </w:r>
          </w:p>
        </w:tc>
        <w:tc>
          <w:tcPr>
            <w:tcW w:w="1258" w:type="dxa"/>
            <w:gridSpan w:val="2"/>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Unstandardized Coefficients</w:t>
            </w:r>
          </w:p>
        </w:tc>
        <w:tc>
          <w:tcPr>
            <w:tcW w:w="736"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Standardized Coefficients</w:t>
            </w:r>
          </w:p>
        </w:tc>
        <w:tc>
          <w:tcPr>
            <w:tcW w:w="488" w:type="dxa"/>
            <w:vMerge w:val="restart"/>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t</w:t>
            </w:r>
          </w:p>
        </w:tc>
        <w:tc>
          <w:tcPr>
            <w:tcW w:w="481" w:type="dxa"/>
            <w:vMerge w:val="restart"/>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Sig.</w:t>
            </w:r>
          </w:p>
        </w:tc>
      </w:tr>
      <w:tr w:rsidR="00774682">
        <w:trPr>
          <w:trHeight w:val="20"/>
          <w:jc w:val="center"/>
        </w:trPr>
        <w:tc>
          <w:tcPr>
            <w:tcW w:w="930" w:type="dxa"/>
            <w:gridSpan w:val="2"/>
            <w:vMerge/>
            <w:shd w:val="clear" w:color="auto" w:fill="FFFFFF"/>
            <w:tcMar>
              <w:top w:w="0" w:type="dxa"/>
              <w:left w:w="0" w:type="dxa"/>
              <w:bottom w:w="0" w:type="dxa"/>
              <w:right w:w="0" w:type="dxa"/>
            </w:tcMar>
            <w:vAlign w:val="bottom"/>
          </w:tcPr>
          <w:p w:rsidR="00774682" w:rsidRDefault="00774682">
            <w:pPr>
              <w:widowControl w:val="0"/>
              <w:pBdr>
                <w:top w:val="nil"/>
                <w:left w:val="nil"/>
                <w:bottom w:val="nil"/>
                <w:right w:val="nil"/>
                <w:between w:val="nil"/>
              </w:pBdr>
              <w:rPr>
                <w:rFonts w:ascii="Times New Roman" w:eastAsia="Times New Roman" w:hAnsi="Times New Roman" w:cs="Times New Roman"/>
                <w:sz w:val="14"/>
                <w:szCs w:val="14"/>
              </w:rPr>
            </w:pPr>
          </w:p>
        </w:tc>
        <w:tc>
          <w:tcPr>
            <w:tcW w:w="625"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B</w:t>
            </w:r>
          </w:p>
        </w:tc>
        <w:tc>
          <w:tcPr>
            <w:tcW w:w="633"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Std. Error</w:t>
            </w:r>
          </w:p>
        </w:tc>
        <w:tc>
          <w:tcPr>
            <w:tcW w:w="736"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Beta</w:t>
            </w:r>
          </w:p>
        </w:tc>
        <w:tc>
          <w:tcPr>
            <w:tcW w:w="488" w:type="dxa"/>
            <w:vMerge/>
            <w:shd w:val="clear" w:color="auto" w:fill="FFFFFF"/>
            <w:tcMar>
              <w:top w:w="0" w:type="dxa"/>
              <w:left w:w="0" w:type="dxa"/>
              <w:bottom w:w="0" w:type="dxa"/>
              <w:right w:w="0" w:type="dxa"/>
            </w:tcMar>
            <w:vAlign w:val="bottom"/>
          </w:tcPr>
          <w:p w:rsidR="00774682" w:rsidRDefault="00774682">
            <w:pPr>
              <w:widowControl w:val="0"/>
              <w:pBdr>
                <w:top w:val="nil"/>
                <w:left w:val="nil"/>
                <w:bottom w:val="nil"/>
                <w:right w:val="nil"/>
                <w:between w:val="nil"/>
              </w:pBdr>
              <w:rPr>
                <w:rFonts w:ascii="Times New Roman" w:eastAsia="Times New Roman" w:hAnsi="Times New Roman" w:cs="Times New Roman"/>
                <w:sz w:val="14"/>
                <w:szCs w:val="14"/>
              </w:rPr>
            </w:pPr>
          </w:p>
        </w:tc>
        <w:tc>
          <w:tcPr>
            <w:tcW w:w="481" w:type="dxa"/>
            <w:vMerge/>
            <w:shd w:val="clear" w:color="auto" w:fill="FFFFFF"/>
            <w:tcMar>
              <w:top w:w="0" w:type="dxa"/>
              <w:left w:w="0" w:type="dxa"/>
              <w:bottom w:w="0" w:type="dxa"/>
              <w:right w:w="0" w:type="dxa"/>
            </w:tcMar>
            <w:vAlign w:val="bottom"/>
          </w:tcPr>
          <w:p w:rsidR="00774682" w:rsidRDefault="00774682">
            <w:pPr>
              <w:widowControl w:val="0"/>
              <w:pBdr>
                <w:top w:val="nil"/>
                <w:left w:val="nil"/>
                <w:bottom w:val="nil"/>
                <w:right w:val="nil"/>
                <w:between w:val="nil"/>
              </w:pBdr>
              <w:rPr>
                <w:rFonts w:ascii="Times New Roman" w:eastAsia="Times New Roman" w:hAnsi="Times New Roman" w:cs="Times New Roman"/>
                <w:sz w:val="14"/>
                <w:szCs w:val="14"/>
              </w:rPr>
            </w:pPr>
          </w:p>
        </w:tc>
      </w:tr>
      <w:tr w:rsidR="00774682">
        <w:trPr>
          <w:trHeight w:val="50"/>
          <w:jc w:val="center"/>
        </w:trPr>
        <w:tc>
          <w:tcPr>
            <w:tcW w:w="335" w:type="dxa"/>
            <w:vMerge w:val="restart"/>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595" w:type="dxa"/>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(Constant)</w:t>
            </w:r>
          </w:p>
        </w:tc>
        <w:tc>
          <w:tcPr>
            <w:tcW w:w="625"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.951</w:t>
            </w:r>
          </w:p>
        </w:tc>
        <w:tc>
          <w:tcPr>
            <w:tcW w:w="633"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.103</w:t>
            </w:r>
          </w:p>
        </w:tc>
        <w:tc>
          <w:tcPr>
            <w:tcW w:w="736" w:type="dxa"/>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tc>
        <w:tc>
          <w:tcPr>
            <w:tcW w:w="488"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9.254</w:t>
            </w:r>
          </w:p>
        </w:tc>
        <w:tc>
          <w:tcPr>
            <w:tcW w:w="481"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.000</w:t>
            </w:r>
          </w:p>
        </w:tc>
      </w:tr>
      <w:tr w:rsidR="00774682">
        <w:trPr>
          <w:trHeight w:val="20"/>
          <w:jc w:val="center"/>
        </w:trPr>
        <w:tc>
          <w:tcPr>
            <w:tcW w:w="335" w:type="dxa"/>
            <w:vMerge/>
            <w:tcMar>
              <w:top w:w="0" w:type="dxa"/>
              <w:left w:w="0" w:type="dxa"/>
              <w:bottom w:w="0" w:type="dxa"/>
              <w:right w:w="0" w:type="dxa"/>
            </w:tcMar>
          </w:tcPr>
          <w:p w:rsidR="00774682" w:rsidRDefault="00774682">
            <w:pPr>
              <w:widowControl w:val="0"/>
              <w:pBdr>
                <w:top w:val="nil"/>
                <w:left w:val="nil"/>
                <w:bottom w:val="nil"/>
                <w:right w:val="nil"/>
                <w:between w:val="nil"/>
              </w:pBdr>
              <w:rPr>
                <w:rFonts w:ascii="Times New Roman" w:eastAsia="Times New Roman" w:hAnsi="Times New Roman" w:cs="Times New Roman"/>
                <w:sz w:val="14"/>
                <w:szCs w:val="14"/>
              </w:rPr>
            </w:pPr>
          </w:p>
        </w:tc>
        <w:tc>
          <w:tcPr>
            <w:tcW w:w="595" w:type="dxa"/>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PSAK72</w:t>
            </w:r>
          </w:p>
        </w:tc>
        <w:tc>
          <w:tcPr>
            <w:tcW w:w="625"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-.674</w:t>
            </w:r>
          </w:p>
        </w:tc>
        <w:tc>
          <w:tcPr>
            <w:tcW w:w="633"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.145</w:t>
            </w:r>
          </w:p>
        </w:tc>
        <w:tc>
          <w:tcPr>
            <w:tcW w:w="736"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-.556</w:t>
            </w:r>
          </w:p>
        </w:tc>
        <w:tc>
          <w:tcPr>
            <w:tcW w:w="488"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-4.636</w:t>
            </w:r>
          </w:p>
        </w:tc>
        <w:tc>
          <w:tcPr>
            <w:tcW w:w="481"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.000</w:t>
            </w:r>
          </w:p>
        </w:tc>
      </w:tr>
      <w:tr w:rsidR="00774682">
        <w:trPr>
          <w:trHeight w:val="50"/>
          <w:jc w:val="center"/>
        </w:trPr>
        <w:tc>
          <w:tcPr>
            <w:tcW w:w="3893" w:type="dxa"/>
            <w:gridSpan w:val="7"/>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a. Dependent Variable: Rasio Lancar</w:t>
            </w:r>
          </w:p>
        </w:tc>
      </w:tr>
    </w:tbl>
    <w:p w:rsidR="00774682" w:rsidRDefault="00A117D1">
      <w:pPr>
        <w:spacing w:line="240" w:lineRule="auto"/>
        <w:ind w:right="2"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uji hipotesis untuk variabel Rasio Lancar menunjukkan bahwa t hitungnya adalah -4.636, sementara t tabelnya adalah 2.012 untuk tingkat signifikansi 0.05 dan derajat kebebasan (df) sebesar n-2 (dengan n adalah jumlah sampel). Nilai signifikansi (sig) </w:t>
      </w:r>
      <w:r>
        <w:rPr>
          <w:rFonts w:ascii="Times New Roman" w:eastAsia="Times New Roman" w:hAnsi="Times New Roman" w:cs="Times New Roman"/>
          <w:sz w:val="24"/>
          <w:szCs w:val="24"/>
        </w:rPr>
        <w:t>sebesar 0.000 menunjukkan bahwa nilai t hitung berada di luar batas kritis t tabel pada tingkat signifikansi 0.05. Oleh karena itu, hipotesis nol (H0) ditolak, yang berarti terdapat pengaruh yang signifikan dari implementasi PSAK 72 terhadap Rasio Lancar p</w:t>
      </w:r>
      <w:r>
        <w:rPr>
          <w:rFonts w:ascii="Times New Roman" w:eastAsia="Times New Roman" w:hAnsi="Times New Roman" w:cs="Times New Roman"/>
          <w:sz w:val="24"/>
          <w:szCs w:val="24"/>
        </w:rPr>
        <w:t xml:space="preserve">ada perusahaan sektor infrastruktur di Indonesia. Hal ini sejalan dengan hasil penelitian Amyulianthy et all. (2022), yang juga menunjukkan adanya pengaruh yang signifikan dari implementasi PSAK 72 terhadap variabel yang sama atau sejenis. </w:t>
      </w:r>
    </w:p>
    <w:tbl>
      <w:tblPr>
        <w:tblStyle w:val="a8"/>
        <w:tblW w:w="3893" w:type="dxa"/>
        <w:jc w:val="center"/>
        <w:tblBorders>
          <w:top w:val="single" w:sz="4" w:space="0" w:color="000000"/>
          <w:bottom w:val="single" w:sz="4" w:space="0" w:color="000000"/>
          <w:insideH w:val="single" w:sz="4" w:space="0" w:color="000000"/>
        </w:tblBorders>
        <w:tblLayout w:type="fixed"/>
        <w:tblLook w:val="0600" w:firstRow="0" w:lastRow="0" w:firstColumn="0" w:lastColumn="0" w:noHBand="1" w:noVBand="1"/>
      </w:tblPr>
      <w:tblGrid>
        <w:gridCol w:w="335"/>
        <w:gridCol w:w="595"/>
        <w:gridCol w:w="625"/>
        <w:gridCol w:w="633"/>
        <w:gridCol w:w="736"/>
        <w:gridCol w:w="488"/>
        <w:gridCol w:w="481"/>
      </w:tblGrid>
      <w:tr w:rsidR="00774682">
        <w:trPr>
          <w:trHeight w:val="50"/>
          <w:jc w:val="center"/>
        </w:trPr>
        <w:tc>
          <w:tcPr>
            <w:tcW w:w="3893" w:type="dxa"/>
            <w:gridSpan w:val="7"/>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b/>
                <w:sz w:val="14"/>
                <w:szCs w:val="14"/>
                <w:vertAlign w:val="superscript"/>
              </w:rPr>
            </w:pPr>
            <w:r>
              <w:rPr>
                <w:rFonts w:ascii="Times New Roman" w:eastAsia="Times New Roman" w:hAnsi="Times New Roman" w:cs="Times New Roman"/>
                <w:b/>
                <w:sz w:val="14"/>
                <w:szCs w:val="14"/>
              </w:rPr>
              <w:t>Coefficients</w:t>
            </w:r>
          </w:p>
        </w:tc>
      </w:tr>
      <w:tr w:rsidR="00774682">
        <w:trPr>
          <w:trHeight w:val="50"/>
          <w:jc w:val="center"/>
        </w:trPr>
        <w:tc>
          <w:tcPr>
            <w:tcW w:w="930" w:type="dxa"/>
            <w:gridSpan w:val="2"/>
            <w:vMerge w:val="restart"/>
            <w:shd w:val="clear" w:color="auto" w:fill="FFFFFF"/>
            <w:tcMar>
              <w:top w:w="0" w:type="dxa"/>
              <w:left w:w="0" w:type="dxa"/>
              <w:bottom w:w="0" w:type="dxa"/>
              <w:right w:w="0" w:type="dxa"/>
            </w:tcMar>
            <w:vAlign w:val="bottom"/>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Model</w:t>
            </w:r>
          </w:p>
        </w:tc>
        <w:tc>
          <w:tcPr>
            <w:tcW w:w="1258" w:type="dxa"/>
            <w:gridSpan w:val="2"/>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Unstandardized Coefficients</w:t>
            </w:r>
          </w:p>
        </w:tc>
        <w:tc>
          <w:tcPr>
            <w:tcW w:w="736"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Standardized Coefficients</w:t>
            </w:r>
          </w:p>
        </w:tc>
        <w:tc>
          <w:tcPr>
            <w:tcW w:w="488" w:type="dxa"/>
            <w:vMerge w:val="restart"/>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t</w:t>
            </w:r>
          </w:p>
        </w:tc>
        <w:tc>
          <w:tcPr>
            <w:tcW w:w="481" w:type="dxa"/>
            <w:vMerge w:val="restart"/>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Sig.</w:t>
            </w:r>
          </w:p>
        </w:tc>
      </w:tr>
      <w:tr w:rsidR="00774682">
        <w:trPr>
          <w:trHeight w:val="20"/>
          <w:jc w:val="center"/>
        </w:trPr>
        <w:tc>
          <w:tcPr>
            <w:tcW w:w="930" w:type="dxa"/>
            <w:gridSpan w:val="2"/>
            <w:vMerge/>
            <w:shd w:val="clear" w:color="auto" w:fill="FFFFFF"/>
            <w:tcMar>
              <w:top w:w="0" w:type="dxa"/>
              <w:left w:w="0" w:type="dxa"/>
              <w:bottom w:w="0" w:type="dxa"/>
              <w:right w:w="0" w:type="dxa"/>
            </w:tcMar>
            <w:vAlign w:val="bottom"/>
          </w:tcPr>
          <w:p w:rsidR="00774682" w:rsidRDefault="00774682">
            <w:pPr>
              <w:widowControl w:val="0"/>
              <w:pBdr>
                <w:top w:val="nil"/>
                <w:left w:val="nil"/>
                <w:bottom w:val="nil"/>
                <w:right w:val="nil"/>
                <w:between w:val="nil"/>
              </w:pBdr>
              <w:rPr>
                <w:rFonts w:ascii="Times New Roman" w:eastAsia="Times New Roman" w:hAnsi="Times New Roman" w:cs="Times New Roman"/>
                <w:sz w:val="14"/>
                <w:szCs w:val="14"/>
              </w:rPr>
            </w:pPr>
          </w:p>
        </w:tc>
        <w:tc>
          <w:tcPr>
            <w:tcW w:w="625"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B</w:t>
            </w:r>
          </w:p>
        </w:tc>
        <w:tc>
          <w:tcPr>
            <w:tcW w:w="633"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Std. Error</w:t>
            </w:r>
          </w:p>
        </w:tc>
        <w:tc>
          <w:tcPr>
            <w:tcW w:w="736"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Beta</w:t>
            </w:r>
          </w:p>
        </w:tc>
        <w:tc>
          <w:tcPr>
            <w:tcW w:w="488" w:type="dxa"/>
            <w:vMerge/>
            <w:shd w:val="clear" w:color="auto" w:fill="FFFFFF"/>
            <w:tcMar>
              <w:top w:w="0" w:type="dxa"/>
              <w:left w:w="0" w:type="dxa"/>
              <w:bottom w:w="0" w:type="dxa"/>
              <w:right w:w="0" w:type="dxa"/>
            </w:tcMar>
            <w:vAlign w:val="bottom"/>
          </w:tcPr>
          <w:p w:rsidR="00774682" w:rsidRDefault="00774682">
            <w:pPr>
              <w:widowControl w:val="0"/>
              <w:pBdr>
                <w:top w:val="nil"/>
                <w:left w:val="nil"/>
                <w:bottom w:val="nil"/>
                <w:right w:val="nil"/>
                <w:between w:val="nil"/>
              </w:pBdr>
              <w:rPr>
                <w:rFonts w:ascii="Times New Roman" w:eastAsia="Times New Roman" w:hAnsi="Times New Roman" w:cs="Times New Roman"/>
                <w:sz w:val="14"/>
                <w:szCs w:val="14"/>
              </w:rPr>
            </w:pPr>
          </w:p>
        </w:tc>
        <w:tc>
          <w:tcPr>
            <w:tcW w:w="481" w:type="dxa"/>
            <w:vMerge/>
            <w:shd w:val="clear" w:color="auto" w:fill="FFFFFF"/>
            <w:tcMar>
              <w:top w:w="0" w:type="dxa"/>
              <w:left w:w="0" w:type="dxa"/>
              <w:bottom w:w="0" w:type="dxa"/>
              <w:right w:w="0" w:type="dxa"/>
            </w:tcMar>
            <w:vAlign w:val="bottom"/>
          </w:tcPr>
          <w:p w:rsidR="00774682" w:rsidRDefault="00774682">
            <w:pPr>
              <w:widowControl w:val="0"/>
              <w:pBdr>
                <w:top w:val="nil"/>
                <w:left w:val="nil"/>
                <w:bottom w:val="nil"/>
                <w:right w:val="nil"/>
                <w:between w:val="nil"/>
              </w:pBdr>
              <w:rPr>
                <w:rFonts w:ascii="Times New Roman" w:eastAsia="Times New Roman" w:hAnsi="Times New Roman" w:cs="Times New Roman"/>
                <w:sz w:val="14"/>
                <w:szCs w:val="14"/>
              </w:rPr>
            </w:pPr>
          </w:p>
        </w:tc>
      </w:tr>
      <w:tr w:rsidR="00774682">
        <w:trPr>
          <w:trHeight w:val="50"/>
          <w:jc w:val="center"/>
        </w:trPr>
        <w:tc>
          <w:tcPr>
            <w:tcW w:w="335" w:type="dxa"/>
            <w:vMerge w:val="restart"/>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595" w:type="dxa"/>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(Constant)</w:t>
            </w:r>
          </w:p>
        </w:tc>
        <w:tc>
          <w:tcPr>
            <w:tcW w:w="625"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.059</w:t>
            </w:r>
          </w:p>
        </w:tc>
        <w:tc>
          <w:tcPr>
            <w:tcW w:w="633"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.017</w:t>
            </w:r>
          </w:p>
        </w:tc>
        <w:tc>
          <w:tcPr>
            <w:tcW w:w="736" w:type="dxa"/>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tc>
        <w:tc>
          <w:tcPr>
            <w:tcW w:w="488"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3.448</w:t>
            </w:r>
          </w:p>
        </w:tc>
        <w:tc>
          <w:tcPr>
            <w:tcW w:w="481"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.001</w:t>
            </w:r>
          </w:p>
        </w:tc>
      </w:tr>
      <w:tr w:rsidR="00774682">
        <w:trPr>
          <w:trHeight w:val="20"/>
          <w:jc w:val="center"/>
        </w:trPr>
        <w:tc>
          <w:tcPr>
            <w:tcW w:w="335" w:type="dxa"/>
            <w:vMerge/>
            <w:tcMar>
              <w:top w:w="0" w:type="dxa"/>
              <w:left w:w="0" w:type="dxa"/>
              <w:bottom w:w="0" w:type="dxa"/>
              <w:right w:w="0" w:type="dxa"/>
            </w:tcMar>
          </w:tcPr>
          <w:p w:rsidR="00774682" w:rsidRDefault="00774682">
            <w:pPr>
              <w:widowControl w:val="0"/>
              <w:pBdr>
                <w:top w:val="nil"/>
                <w:left w:val="nil"/>
                <w:bottom w:val="nil"/>
                <w:right w:val="nil"/>
                <w:between w:val="nil"/>
              </w:pBdr>
              <w:rPr>
                <w:rFonts w:ascii="Times New Roman" w:eastAsia="Times New Roman" w:hAnsi="Times New Roman" w:cs="Times New Roman"/>
                <w:sz w:val="14"/>
                <w:szCs w:val="14"/>
              </w:rPr>
            </w:pPr>
          </w:p>
        </w:tc>
        <w:tc>
          <w:tcPr>
            <w:tcW w:w="595" w:type="dxa"/>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PSAK72</w:t>
            </w:r>
          </w:p>
        </w:tc>
        <w:tc>
          <w:tcPr>
            <w:tcW w:w="625"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-.018</w:t>
            </w:r>
          </w:p>
        </w:tc>
        <w:tc>
          <w:tcPr>
            <w:tcW w:w="633"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.024</w:t>
            </w:r>
          </w:p>
        </w:tc>
        <w:tc>
          <w:tcPr>
            <w:tcW w:w="736"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-.105</w:t>
            </w:r>
          </w:p>
        </w:tc>
        <w:tc>
          <w:tcPr>
            <w:tcW w:w="488"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-.734</w:t>
            </w:r>
          </w:p>
        </w:tc>
        <w:tc>
          <w:tcPr>
            <w:tcW w:w="481"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.466</w:t>
            </w:r>
          </w:p>
        </w:tc>
      </w:tr>
      <w:tr w:rsidR="00774682">
        <w:trPr>
          <w:trHeight w:val="50"/>
          <w:jc w:val="center"/>
        </w:trPr>
        <w:tc>
          <w:tcPr>
            <w:tcW w:w="3893" w:type="dxa"/>
            <w:gridSpan w:val="7"/>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al. Dependent Variable: ROE</w:t>
            </w:r>
          </w:p>
        </w:tc>
      </w:tr>
    </w:tbl>
    <w:p w:rsidR="00774682" w:rsidRDefault="00A117D1">
      <w:pPr>
        <w:spacing w:line="240" w:lineRule="auto"/>
        <w:ind w:right="2"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uji hipotesis untuk variabel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(ROE) menunjukkan bahwa t hitungnya adalah -0.734, sedangkan t tabelnya adalah 2.012 untuk tingkat signifikansi 0.05 dan derajat kebebasan (df) yang sesuai. Nilai signifikansi (sig) sebesar 0.466 menunjukkan bahwa nilai t hitung tidak berada di luar batas</w:t>
      </w:r>
      <w:r>
        <w:rPr>
          <w:rFonts w:ascii="Times New Roman" w:eastAsia="Times New Roman" w:hAnsi="Times New Roman" w:cs="Times New Roman"/>
          <w:sz w:val="24"/>
          <w:szCs w:val="24"/>
        </w:rPr>
        <w:t xml:space="preserve"> kritis t tabel pada tingkat signifikansi 0.05. Oleh karena itu, tidak ada cukup bukti untuk menolak hipotesis nol (H0), yang berarti tidak terdapat pengaruh yang signifikan dari implementasi PSAK 72 terhadap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(ROE) pada perusahaan sektor i</w:t>
      </w:r>
      <w:r>
        <w:rPr>
          <w:rFonts w:ascii="Times New Roman" w:eastAsia="Times New Roman" w:hAnsi="Times New Roman" w:cs="Times New Roman"/>
          <w:sz w:val="24"/>
          <w:szCs w:val="24"/>
        </w:rPr>
        <w:t>nfrastruktur di Indonesia. Hasil tersebut bertentangan dengan penelitian yang dilakukan oleh Taufiandia &amp; Fadilah (2023) yang menemukan bahwa implementasi PSAK 72 berpengaruh terhadap Return on Equity (ROE).</w:t>
      </w:r>
    </w:p>
    <w:tbl>
      <w:tblPr>
        <w:tblStyle w:val="a9"/>
        <w:tblW w:w="3893" w:type="dxa"/>
        <w:jc w:val="center"/>
        <w:tblBorders>
          <w:top w:val="single" w:sz="4" w:space="0" w:color="000000"/>
          <w:bottom w:val="single" w:sz="4" w:space="0" w:color="000000"/>
          <w:insideH w:val="single" w:sz="4" w:space="0" w:color="000000"/>
        </w:tblBorders>
        <w:tblLayout w:type="fixed"/>
        <w:tblLook w:val="0600" w:firstRow="0" w:lastRow="0" w:firstColumn="0" w:lastColumn="0" w:noHBand="1" w:noVBand="1"/>
      </w:tblPr>
      <w:tblGrid>
        <w:gridCol w:w="142"/>
        <w:gridCol w:w="773"/>
        <w:gridCol w:w="576"/>
        <w:gridCol w:w="584"/>
        <w:gridCol w:w="971"/>
        <w:gridCol w:w="472"/>
        <w:gridCol w:w="375"/>
      </w:tblGrid>
      <w:tr w:rsidR="00774682">
        <w:trPr>
          <w:trHeight w:val="50"/>
          <w:jc w:val="center"/>
        </w:trPr>
        <w:tc>
          <w:tcPr>
            <w:tcW w:w="3893" w:type="dxa"/>
            <w:gridSpan w:val="7"/>
            <w:shd w:val="clear" w:color="auto" w:fill="FFFFFF"/>
            <w:tcMar>
              <w:top w:w="0" w:type="dxa"/>
              <w:left w:w="0" w:type="dxa"/>
              <w:bottom w:w="0" w:type="dxa"/>
              <w:right w:w="0" w:type="dxa"/>
            </w:tcMar>
          </w:tcPr>
          <w:p w:rsidR="00774682" w:rsidRDefault="00A117D1">
            <w:pPr>
              <w:spacing w:line="240" w:lineRule="auto"/>
              <w:ind w:right="2"/>
              <w:jc w:val="center"/>
              <w:rPr>
                <w:rFonts w:ascii="Times New Roman" w:eastAsia="Times New Roman" w:hAnsi="Times New Roman" w:cs="Times New Roman"/>
                <w:b/>
                <w:sz w:val="16"/>
                <w:szCs w:val="16"/>
                <w:vertAlign w:val="superscript"/>
              </w:rPr>
            </w:pPr>
            <w:r>
              <w:rPr>
                <w:rFonts w:ascii="Times New Roman" w:eastAsia="Times New Roman" w:hAnsi="Times New Roman" w:cs="Times New Roman"/>
                <w:b/>
                <w:sz w:val="16"/>
                <w:szCs w:val="16"/>
              </w:rPr>
              <w:t>Coefficients</w:t>
            </w:r>
            <w:r>
              <w:rPr>
                <w:rFonts w:ascii="Times New Roman" w:eastAsia="Times New Roman" w:hAnsi="Times New Roman" w:cs="Times New Roman"/>
                <w:b/>
                <w:sz w:val="16"/>
                <w:szCs w:val="16"/>
                <w:vertAlign w:val="superscript"/>
              </w:rPr>
              <w:t>al</w:t>
            </w:r>
          </w:p>
        </w:tc>
      </w:tr>
      <w:tr w:rsidR="00774682">
        <w:trPr>
          <w:trHeight w:val="50"/>
          <w:jc w:val="center"/>
        </w:trPr>
        <w:tc>
          <w:tcPr>
            <w:tcW w:w="915" w:type="dxa"/>
            <w:gridSpan w:val="2"/>
            <w:vMerge w:val="restart"/>
            <w:shd w:val="clear" w:color="auto" w:fill="FFFFFF"/>
            <w:tcMar>
              <w:top w:w="0" w:type="dxa"/>
              <w:left w:w="0" w:type="dxa"/>
              <w:bottom w:w="0" w:type="dxa"/>
              <w:right w:w="0" w:type="dxa"/>
            </w:tcMar>
            <w:vAlign w:val="bottom"/>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Model</w:t>
            </w:r>
          </w:p>
        </w:tc>
        <w:tc>
          <w:tcPr>
            <w:tcW w:w="1160" w:type="dxa"/>
            <w:gridSpan w:val="2"/>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Unstandardized Coefficient</w:t>
            </w:r>
            <w:r>
              <w:rPr>
                <w:rFonts w:ascii="Times New Roman" w:eastAsia="Times New Roman" w:hAnsi="Times New Roman" w:cs="Times New Roman"/>
                <w:sz w:val="16"/>
                <w:szCs w:val="16"/>
              </w:rPr>
              <w:t>s</w:t>
            </w:r>
          </w:p>
        </w:tc>
        <w:tc>
          <w:tcPr>
            <w:tcW w:w="971"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Standardized Coefficients</w:t>
            </w:r>
          </w:p>
        </w:tc>
        <w:tc>
          <w:tcPr>
            <w:tcW w:w="472" w:type="dxa"/>
            <w:vMerge w:val="restart"/>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375" w:type="dxa"/>
            <w:vMerge w:val="restart"/>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Sig.</w:t>
            </w:r>
          </w:p>
        </w:tc>
      </w:tr>
      <w:tr w:rsidR="00774682">
        <w:trPr>
          <w:trHeight w:val="20"/>
          <w:jc w:val="center"/>
        </w:trPr>
        <w:tc>
          <w:tcPr>
            <w:tcW w:w="915" w:type="dxa"/>
            <w:gridSpan w:val="2"/>
            <w:vMerge/>
            <w:shd w:val="clear" w:color="auto" w:fill="FFFFFF"/>
            <w:tcMar>
              <w:top w:w="0" w:type="dxa"/>
              <w:left w:w="0" w:type="dxa"/>
              <w:bottom w:w="0" w:type="dxa"/>
              <w:right w:w="0" w:type="dxa"/>
            </w:tcMar>
            <w:vAlign w:val="bottom"/>
          </w:tcPr>
          <w:p w:rsidR="00774682" w:rsidRDefault="00774682">
            <w:pPr>
              <w:widowControl w:val="0"/>
              <w:pBdr>
                <w:top w:val="nil"/>
                <w:left w:val="nil"/>
                <w:bottom w:val="nil"/>
                <w:right w:val="nil"/>
                <w:between w:val="nil"/>
              </w:pBdr>
              <w:rPr>
                <w:rFonts w:ascii="Times New Roman" w:eastAsia="Times New Roman" w:hAnsi="Times New Roman" w:cs="Times New Roman"/>
                <w:sz w:val="16"/>
                <w:szCs w:val="16"/>
              </w:rPr>
            </w:pPr>
          </w:p>
        </w:tc>
        <w:tc>
          <w:tcPr>
            <w:tcW w:w="576"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w:t>
            </w:r>
          </w:p>
        </w:tc>
        <w:tc>
          <w:tcPr>
            <w:tcW w:w="584"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Std. Error</w:t>
            </w:r>
          </w:p>
        </w:tc>
        <w:tc>
          <w:tcPr>
            <w:tcW w:w="971" w:type="dxa"/>
            <w:shd w:val="clear" w:color="auto" w:fill="FFFFFF"/>
            <w:tcMar>
              <w:top w:w="0" w:type="dxa"/>
              <w:left w:w="0" w:type="dxa"/>
              <w:bottom w:w="0" w:type="dxa"/>
              <w:right w:w="0" w:type="dxa"/>
            </w:tcMar>
            <w:vAlign w:val="bottom"/>
          </w:tcPr>
          <w:p w:rsidR="00774682" w:rsidRDefault="00A117D1">
            <w:pPr>
              <w:spacing w:line="240" w:lineRule="auto"/>
              <w:ind w:right="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Beta</w:t>
            </w:r>
          </w:p>
        </w:tc>
        <w:tc>
          <w:tcPr>
            <w:tcW w:w="472" w:type="dxa"/>
            <w:vMerge/>
            <w:shd w:val="clear" w:color="auto" w:fill="FFFFFF"/>
            <w:tcMar>
              <w:top w:w="0" w:type="dxa"/>
              <w:left w:w="0" w:type="dxa"/>
              <w:bottom w:w="0" w:type="dxa"/>
              <w:right w:w="0" w:type="dxa"/>
            </w:tcMar>
            <w:vAlign w:val="bottom"/>
          </w:tcPr>
          <w:p w:rsidR="00774682" w:rsidRDefault="00774682">
            <w:pPr>
              <w:widowControl w:val="0"/>
              <w:pBdr>
                <w:top w:val="nil"/>
                <w:left w:val="nil"/>
                <w:bottom w:val="nil"/>
                <w:right w:val="nil"/>
                <w:between w:val="nil"/>
              </w:pBdr>
              <w:rPr>
                <w:rFonts w:ascii="Times New Roman" w:eastAsia="Times New Roman" w:hAnsi="Times New Roman" w:cs="Times New Roman"/>
                <w:sz w:val="16"/>
                <w:szCs w:val="16"/>
              </w:rPr>
            </w:pPr>
          </w:p>
        </w:tc>
        <w:tc>
          <w:tcPr>
            <w:tcW w:w="375" w:type="dxa"/>
            <w:vMerge/>
            <w:shd w:val="clear" w:color="auto" w:fill="FFFFFF"/>
            <w:tcMar>
              <w:top w:w="0" w:type="dxa"/>
              <w:left w:w="0" w:type="dxa"/>
              <w:bottom w:w="0" w:type="dxa"/>
              <w:right w:w="0" w:type="dxa"/>
            </w:tcMar>
            <w:vAlign w:val="bottom"/>
          </w:tcPr>
          <w:p w:rsidR="00774682" w:rsidRDefault="00774682">
            <w:pPr>
              <w:widowControl w:val="0"/>
              <w:pBdr>
                <w:top w:val="nil"/>
                <w:left w:val="nil"/>
                <w:bottom w:val="nil"/>
                <w:right w:val="nil"/>
                <w:between w:val="nil"/>
              </w:pBdr>
              <w:rPr>
                <w:rFonts w:ascii="Times New Roman" w:eastAsia="Times New Roman" w:hAnsi="Times New Roman" w:cs="Times New Roman"/>
                <w:sz w:val="16"/>
                <w:szCs w:val="16"/>
              </w:rPr>
            </w:pPr>
          </w:p>
        </w:tc>
      </w:tr>
      <w:tr w:rsidR="00774682">
        <w:trPr>
          <w:trHeight w:val="330"/>
          <w:jc w:val="center"/>
        </w:trPr>
        <w:tc>
          <w:tcPr>
            <w:tcW w:w="142" w:type="dxa"/>
            <w:vMerge w:val="restart"/>
            <w:shd w:val="clear" w:color="auto" w:fill="auto"/>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773" w:type="dxa"/>
            <w:shd w:val="clear" w:color="auto" w:fill="auto"/>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(Constant)</w:t>
            </w:r>
          </w:p>
        </w:tc>
        <w:tc>
          <w:tcPr>
            <w:tcW w:w="576"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.309</w:t>
            </w:r>
          </w:p>
        </w:tc>
        <w:tc>
          <w:tcPr>
            <w:tcW w:w="584"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.052</w:t>
            </w:r>
          </w:p>
        </w:tc>
        <w:tc>
          <w:tcPr>
            <w:tcW w:w="971" w:type="dxa"/>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47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5.954</w:t>
            </w:r>
          </w:p>
        </w:tc>
        <w:tc>
          <w:tcPr>
            <w:tcW w:w="375"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r>
      <w:tr w:rsidR="00774682">
        <w:trPr>
          <w:trHeight w:val="20"/>
          <w:jc w:val="center"/>
        </w:trPr>
        <w:tc>
          <w:tcPr>
            <w:tcW w:w="142" w:type="dxa"/>
            <w:vMerge/>
            <w:shd w:val="clear" w:color="auto" w:fill="auto"/>
            <w:tcMar>
              <w:top w:w="0" w:type="dxa"/>
              <w:left w:w="0" w:type="dxa"/>
              <w:bottom w:w="0" w:type="dxa"/>
              <w:right w:w="0" w:type="dxa"/>
            </w:tcMar>
          </w:tcPr>
          <w:p w:rsidR="00774682" w:rsidRDefault="00774682">
            <w:pPr>
              <w:widowControl w:val="0"/>
              <w:pBdr>
                <w:top w:val="nil"/>
                <w:left w:val="nil"/>
                <w:bottom w:val="nil"/>
                <w:right w:val="nil"/>
                <w:between w:val="nil"/>
              </w:pBdr>
              <w:rPr>
                <w:rFonts w:ascii="Times New Roman" w:eastAsia="Times New Roman" w:hAnsi="Times New Roman" w:cs="Times New Roman"/>
                <w:sz w:val="16"/>
                <w:szCs w:val="16"/>
              </w:rPr>
            </w:pPr>
          </w:p>
        </w:tc>
        <w:tc>
          <w:tcPr>
            <w:tcW w:w="773" w:type="dxa"/>
            <w:shd w:val="clear" w:color="auto" w:fill="auto"/>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PSAK72</w:t>
            </w:r>
          </w:p>
        </w:tc>
        <w:tc>
          <w:tcPr>
            <w:tcW w:w="576"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.010</w:t>
            </w:r>
          </w:p>
        </w:tc>
        <w:tc>
          <w:tcPr>
            <w:tcW w:w="584"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.073</w:t>
            </w:r>
          </w:p>
        </w:tc>
        <w:tc>
          <w:tcPr>
            <w:tcW w:w="971"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.019</w:t>
            </w:r>
          </w:p>
        </w:tc>
        <w:tc>
          <w:tcPr>
            <w:tcW w:w="472"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.131</w:t>
            </w:r>
          </w:p>
        </w:tc>
        <w:tc>
          <w:tcPr>
            <w:tcW w:w="375" w:type="dxa"/>
            <w:shd w:val="clear" w:color="auto" w:fill="FFFFFF"/>
            <w:tcMar>
              <w:top w:w="0" w:type="dxa"/>
              <w:left w:w="0" w:type="dxa"/>
              <w:bottom w:w="0" w:type="dxa"/>
              <w:right w:w="0" w:type="dxa"/>
            </w:tcMar>
          </w:tcPr>
          <w:p w:rsidR="00774682" w:rsidRDefault="00A117D1">
            <w:pPr>
              <w:spacing w:line="240" w:lineRule="auto"/>
              <w:ind w:right="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.896</w:t>
            </w:r>
          </w:p>
        </w:tc>
      </w:tr>
      <w:tr w:rsidR="00774682">
        <w:trPr>
          <w:trHeight w:val="330"/>
          <w:jc w:val="center"/>
        </w:trPr>
        <w:tc>
          <w:tcPr>
            <w:tcW w:w="3893" w:type="dxa"/>
            <w:gridSpan w:val="7"/>
            <w:shd w:val="clear" w:color="auto" w:fill="FFFFFF"/>
            <w:tcMar>
              <w:top w:w="0" w:type="dxa"/>
              <w:left w:w="0" w:type="dxa"/>
              <w:bottom w:w="0" w:type="dxa"/>
              <w:right w:w="0" w:type="dxa"/>
            </w:tcMar>
          </w:tcPr>
          <w:p w:rsidR="00774682" w:rsidRDefault="00A117D1">
            <w:pPr>
              <w:spacing w:line="240" w:lineRule="auto"/>
              <w:ind w:right="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 Dependent Variable: DAR</w:t>
            </w:r>
          </w:p>
        </w:tc>
      </w:tr>
    </w:tbl>
    <w:p w:rsidR="00774682" w:rsidRDefault="00A117D1">
      <w:pPr>
        <w:spacing w:line="240" w:lineRule="auto"/>
        <w:ind w:right="2"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uji hipotesis untuk variabel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(ROE) menunjukkan bahwa t hitungnya adalah 0.131, sedangkan t tabelnya adalah 2.012 untuk tingkat signifikansi 0.05 dan derajat kebebasan yang sesuai. Nilai signifikansi (sig) sebesar 0.896 menunjukkan bahwa nilai t hitung tidak berada di luar batas kriti</w:t>
      </w:r>
      <w:r>
        <w:rPr>
          <w:rFonts w:ascii="Times New Roman" w:eastAsia="Times New Roman" w:hAnsi="Times New Roman" w:cs="Times New Roman"/>
          <w:sz w:val="24"/>
          <w:szCs w:val="24"/>
        </w:rPr>
        <w:t xml:space="preserve">s t tabel pada tingkat signifikansi 0.05. Oleh karena itu, tidak ada cukup bukti untuk menolak hipotesis nol (H0), yang berarti tidak terdapat pengaruh yang signifikan dari implementasi PSAK 72 terhadap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(ROE) pada perusahaan sektor infrast</w:t>
      </w:r>
      <w:r>
        <w:rPr>
          <w:rFonts w:ascii="Times New Roman" w:eastAsia="Times New Roman" w:hAnsi="Times New Roman" w:cs="Times New Roman"/>
          <w:sz w:val="24"/>
          <w:szCs w:val="24"/>
        </w:rPr>
        <w:t xml:space="preserve">ruktur di Indonesia. Hasil ini sejalan dengan penelitian yang dilakukan oleh Sihombing et al. yang menemukan bahwa PSAK 72 tidak memiliki pengaruh terhadap </w:t>
      </w:r>
      <w:r>
        <w:rPr>
          <w:rFonts w:ascii="Times New Roman" w:eastAsia="Times New Roman" w:hAnsi="Times New Roman" w:cs="Times New Roman"/>
          <w:i/>
          <w:sz w:val="24"/>
          <w:szCs w:val="24"/>
        </w:rPr>
        <w:t>Debt to Asset Ratio</w:t>
      </w:r>
      <w:r>
        <w:rPr>
          <w:rFonts w:ascii="Times New Roman" w:eastAsia="Times New Roman" w:hAnsi="Times New Roman" w:cs="Times New Roman"/>
          <w:sz w:val="24"/>
          <w:szCs w:val="24"/>
        </w:rPr>
        <w:t xml:space="preserve"> (DAR) atau rasio solvabilitas.</w:t>
      </w:r>
    </w:p>
    <w:p w:rsidR="00774682" w:rsidRDefault="00774682">
      <w:pPr>
        <w:tabs>
          <w:tab w:val="left" w:pos="7740"/>
        </w:tabs>
        <w:spacing w:line="240" w:lineRule="auto"/>
        <w:ind w:right="2"/>
        <w:rPr>
          <w:rFonts w:ascii="Times New Roman" w:eastAsia="Times New Roman" w:hAnsi="Times New Roman" w:cs="Times New Roman"/>
          <w:b/>
          <w:sz w:val="24"/>
          <w:szCs w:val="24"/>
        </w:rPr>
      </w:pPr>
    </w:p>
    <w:p w:rsidR="00774682" w:rsidRDefault="00A117D1">
      <w:pPr>
        <w:tabs>
          <w:tab w:val="left" w:pos="7740"/>
        </w:tabs>
        <w:spacing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PENUTUP</w:t>
      </w:r>
    </w:p>
    <w:p w:rsidR="00774682" w:rsidRDefault="00A117D1">
      <w:pPr>
        <w:tabs>
          <w:tab w:val="left" w:pos="7740"/>
        </w:tabs>
        <w:spacing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rsidR="00774682" w:rsidRDefault="00A117D1">
      <w:pPr>
        <w:tabs>
          <w:tab w:val="left" w:pos="7740"/>
        </w:tabs>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analisis ya</w:t>
      </w:r>
      <w:r>
        <w:rPr>
          <w:rFonts w:ascii="Times New Roman" w:eastAsia="Times New Roman" w:hAnsi="Times New Roman" w:cs="Times New Roman"/>
          <w:sz w:val="24"/>
          <w:szCs w:val="24"/>
        </w:rPr>
        <w:t xml:space="preserve">ng telah dilakukan, dapat disimpulkan bahwa implementasi PSAK 72 tidak memiliki pengaruh yang signifikan terhadap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(ROE) dan </w:t>
      </w:r>
      <w:r>
        <w:rPr>
          <w:rFonts w:ascii="Times New Roman" w:eastAsia="Times New Roman" w:hAnsi="Times New Roman" w:cs="Times New Roman"/>
          <w:i/>
          <w:sz w:val="24"/>
          <w:szCs w:val="24"/>
        </w:rPr>
        <w:t>Debt to Asset Ratio</w:t>
      </w:r>
      <w:r>
        <w:rPr>
          <w:rFonts w:ascii="Times New Roman" w:eastAsia="Times New Roman" w:hAnsi="Times New Roman" w:cs="Times New Roman"/>
          <w:sz w:val="24"/>
          <w:szCs w:val="24"/>
        </w:rPr>
        <w:t xml:space="preserve"> (DAR) pada perusahaan sektor infrastruktur di Indonesia. Meskipun terdapat pengaruh yang signif</w:t>
      </w:r>
      <w:r>
        <w:rPr>
          <w:rFonts w:ascii="Times New Roman" w:eastAsia="Times New Roman" w:hAnsi="Times New Roman" w:cs="Times New Roman"/>
          <w:sz w:val="24"/>
          <w:szCs w:val="24"/>
        </w:rPr>
        <w:t>ikan terhadap Rasio Lancar, hasil ini sebaliknya diinterpretasikan dengan hati-hati karena ROE dan DAR tidak berpengaruh secara signifikan. Temuan ini konsisten dengan penelitian sebelumnya yang juga menunjukkan bahwa implementasi PSAK 72 tidak secara sign</w:t>
      </w:r>
      <w:r>
        <w:rPr>
          <w:rFonts w:ascii="Times New Roman" w:eastAsia="Times New Roman" w:hAnsi="Times New Roman" w:cs="Times New Roman"/>
          <w:sz w:val="24"/>
          <w:szCs w:val="24"/>
        </w:rPr>
        <w:t xml:space="preserve">ifikan mempengaruhi ROE dan DAR. </w:t>
      </w:r>
    </w:p>
    <w:p w:rsidR="00774682" w:rsidRDefault="00A117D1">
      <w:pPr>
        <w:tabs>
          <w:tab w:val="left" w:pos="7740"/>
        </w:tabs>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ini menunjukkan bahwa, meskipun PSAK 72 memberikan pedoman yang jelas tentang pengakuan, pengukuran, dan pengungkapan dalam laporan keuangan, dampaknya terhadap kinerja keuangan perusahaan sektor infrastruktur terbat</w:t>
      </w:r>
      <w:r>
        <w:rPr>
          <w:rFonts w:ascii="Times New Roman" w:eastAsia="Times New Roman" w:hAnsi="Times New Roman" w:cs="Times New Roman"/>
          <w:sz w:val="24"/>
          <w:szCs w:val="24"/>
        </w:rPr>
        <w:t>as pada Rasio Lancar. Hal ini menunjukkan bahwa faktor-faktor lain diluar ketentuan PSAK 72 mungkin lebih dominan dalam menentukan ROE dan DAR perusahaan. Oleh karena itu, disarankan agar perusahaan tetap memperhatikan manajemen likuiditas dan solvabilitas</w:t>
      </w:r>
      <w:r>
        <w:rPr>
          <w:rFonts w:ascii="Times New Roman" w:eastAsia="Times New Roman" w:hAnsi="Times New Roman" w:cs="Times New Roman"/>
          <w:sz w:val="24"/>
          <w:szCs w:val="24"/>
        </w:rPr>
        <w:t xml:space="preserve"> mereka secara independen dari implementasi PSAK 72.</w:t>
      </w:r>
    </w:p>
    <w:p w:rsidR="00774682" w:rsidRDefault="00A117D1">
      <w:pPr>
        <w:tabs>
          <w:tab w:val="left" w:pos="7740"/>
        </w:tabs>
        <w:spacing w:line="240" w:lineRule="auto"/>
        <w:ind w:right="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selanjutnya dapat mengeksplorasi faktor-faktor lain yang mungkin mempengaruhi kinerja keuangan perusahaan sektor infrastruktur di Indonesia, seperti kondisi ekonomi, regulasi industri, dan pra</w:t>
      </w:r>
      <w:r>
        <w:rPr>
          <w:rFonts w:ascii="Times New Roman" w:eastAsia="Times New Roman" w:hAnsi="Times New Roman" w:cs="Times New Roman"/>
          <w:sz w:val="24"/>
          <w:szCs w:val="24"/>
        </w:rPr>
        <w:t>ktik manajerial. Dengan demikian, hasil penelitian ini dapat memberikan kontribusi bagi pemahaman yang lebih baik tentang hubungan antara implementasi PSAK 72 dan kinerja keuangan perusahaan d</w:t>
      </w:r>
      <w:bookmarkStart w:id="3" w:name="_GoBack"/>
      <w:bookmarkEnd w:id="3"/>
      <w:r>
        <w:rPr>
          <w:rFonts w:ascii="Times New Roman" w:eastAsia="Times New Roman" w:hAnsi="Times New Roman" w:cs="Times New Roman"/>
          <w:sz w:val="24"/>
          <w:szCs w:val="24"/>
        </w:rPr>
        <w:t>i sektor infrastruktur, serta memberikan panduan bagi perusahaan</w:t>
      </w:r>
      <w:r>
        <w:rPr>
          <w:rFonts w:ascii="Times New Roman" w:eastAsia="Times New Roman" w:hAnsi="Times New Roman" w:cs="Times New Roman"/>
          <w:sz w:val="24"/>
          <w:szCs w:val="24"/>
        </w:rPr>
        <w:t xml:space="preserve"> dalam mengelola aspek keuangan mereka dengan lebih efektif.</w:t>
      </w:r>
    </w:p>
    <w:p w:rsidR="00774682" w:rsidRDefault="00774682">
      <w:pPr>
        <w:spacing w:line="240" w:lineRule="auto"/>
        <w:ind w:right="2" w:firstLine="547"/>
        <w:jc w:val="both"/>
        <w:rPr>
          <w:rFonts w:ascii="Times New Roman" w:eastAsia="Times New Roman" w:hAnsi="Times New Roman" w:cs="Times New Roman"/>
          <w:sz w:val="24"/>
          <w:szCs w:val="24"/>
        </w:rPr>
      </w:pPr>
    </w:p>
    <w:p w:rsidR="00774682" w:rsidRDefault="00A117D1">
      <w:pPr>
        <w:pBdr>
          <w:top w:val="nil"/>
          <w:left w:val="nil"/>
          <w:bottom w:val="nil"/>
          <w:right w:val="nil"/>
          <w:between w:val="nil"/>
        </w:pBdr>
        <w:spacing w:line="240" w:lineRule="auto"/>
        <w:ind w:right="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774682" w:rsidRDefault="00A117D1">
      <w:pPr>
        <w:pBdr>
          <w:top w:val="nil"/>
          <w:left w:val="nil"/>
          <w:bottom w:val="nil"/>
          <w:right w:val="nil"/>
          <w:between w:val="nil"/>
        </w:pBdr>
        <w:spacing w:line="240" w:lineRule="auto"/>
        <w:ind w:left="567" w:right="2"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Casnila,  I.,  &amp;  Nurfitriana,  A.  (2020).  </w:t>
      </w:r>
      <w:r>
        <w:rPr>
          <w:rFonts w:ascii="Times New Roman" w:eastAsia="Times New Roman" w:hAnsi="Times New Roman" w:cs="Times New Roman"/>
          <w:sz w:val="24"/>
          <w:szCs w:val="24"/>
        </w:rPr>
        <w:t>Analisis</w:t>
      </w:r>
      <w:r>
        <w:rPr>
          <w:rFonts w:ascii="Times New Roman" w:eastAsia="Times New Roman" w:hAnsi="Times New Roman" w:cs="Times New Roman"/>
          <w:color w:val="000000"/>
          <w:sz w:val="24"/>
          <w:szCs w:val="24"/>
        </w:rPr>
        <w:t xml:space="preserve">  Dampak  </w:t>
      </w:r>
      <w:r>
        <w:rPr>
          <w:rFonts w:ascii="Times New Roman" w:eastAsia="Times New Roman" w:hAnsi="Times New Roman" w:cs="Times New Roman"/>
          <w:sz w:val="24"/>
          <w:szCs w:val="24"/>
        </w:rPr>
        <w:t>Kinerja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Keuangan</w:t>
      </w:r>
      <w:r>
        <w:rPr>
          <w:rFonts w:ascii="Times New Roman" w:eastAsia="Times New Roman" w:hAnsi="Times New Roman" w:cs="Times New Roman"/>
          <w:color w:val="000000"/>
          <w:sz w:val="24"/>
          <w:szCs w:val="24"/>
        </w:rPr>
        <w:t xml:space="preserve">  Sebelum  Dan </w:t>
      </w:r>
      <w:r>
        <w:rPr>
          <w:rFonts w:ascii="Times New Roman" w:eastAsia="Times New Roman" w:hAnsi="Times New Roman" w:cs="Times New Roman"/>
          <w:sz w:val="24"/>
          <w:szCs w:val="24"/>
        </w:rPr>
        <w:t>Sesudah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Penerapan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Psak</w:t>
      </w:r>
      <w:r>
        <w:rPr>
          <w:rFonts w:ascii="Times New Roman" w:eastAsia="Times New Roman" w:hAnsi="Times New Roman" w:cs="Times New Roman"/>
          <w:color w:val="000000"/>
          <w:sz w:val="24"/>
          <w:szCs w:val="24"/>
        </w:rPr>
        <w:t xml:space="preserve">  72  Pada  </w:t>
      </w:r>
      <w:r>
        <w:rPr>
          <w:rFonts w:ascii="Times New Roman" w:eastAsia="Times New Roman" w:hAnsi="Times New Roman" w:cs="Times New Roman"/>
          <w:sz w:val="24"/>
          <w:szCs w:val="24"/>
        </w:rPr>
        <w:t>Perusahaan</w:t>
      </w:r>
      <w:r>
        <w:rPr>
          <w:rFonts w:ascii="Times New Roman" w:eastAsia="Times New Roman" w:hAnsi="Times New Roman" w:cs="Times New Roman"/>
          <w:color w:val="000000"/>
          <w:sz w:val="24"/>
          <w:szCs w:val="24"/>
        </w:rPr>
        <w:t xml:space="preserve">  Telekomunikasi </w:t>
      </w:r>
      <w:r>
        <w:rPr>
          <w:rFonts w:ascii="Times New Roman" w:eastAsia="Times New Roman" w:hAnsi="Times New Roman" w:cs="Times New Roman"/>
          <w:sz w:val="24"/>
          <w:szCs w:val="24"/>
        </w:rPr>
        <w:t>yang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Terdaftar</w:t>
      </w:r>
      <w:r>
        <w:rPr>
          <w:rFonts w:ascii="Times New Roman" w:eastAsia="Times New Roman" w:hAnsi="Times New Roman" w:cs="Times New Roman"/>
          <w:color w:val="000000"/>
          <w:sz w:val="24"/>
          <w:szCs w:val="24"/>
        </w:rPr>
        <w:t xml:space="preserve"> di </w:t>
      </w:r>
      <w:r>
        <w:rPr>
          <w:rFonts w:ascii="Times New Roman" w:eastAsia="Times New Roman" w:hAnsi="Times New Roman" w:cs="Times New Roman"/>
          <w:sz w:val="24"/>
          <w:szCs w:val="24"/>
        </w:rPr>
        <w:t>Bursa</w:t>
      </w:r>
      <w:r>
        <w:rPr>
          <w:rFonts w:ascii="Times New Roman" w:eastAsia="Times New Roman" w:hAnsi="Times New Roman" w:cs="Times New Roman"/>
          <w:color w:val="000000"/>
          <w:sz w:val="24"/>
          <w:szCs w:val="24"/>
        </w:rPr>
        <w:t xml:space="preserve"> Efek </w:t>
      </w:r>
      <w:r>
        <w:rPr>
          <w:rFonts w:ascii="Times New Roman" w:eastAsia="Times New Roman" w:hAnsi="Times New Roman" w:cs="Times New Roman"/>
          <w:sz w:val="24"/>
          <w:szCs w:val="24"/>
        </w:rPr>
        <w:t>Indonesia</w:t>
      </w:r>
      <w:r>
        <w:rPr>
          <w:rFonts w:ascii="Times New Roman" w:eastAsia="Times New Roman" w:hAnsi="Times New Roman" w:cs="Times New Roman"/>
          <w:color w:val="000000"/>
          <w:sz w:val="24"/>
          <w:szCs w:val="24"/>
        </w:rPr>
        <w:t xml:space="preserve"> (BEI). Riset Akuntansi </w:t>
      </w:r>
      <w:r>
        <w:rPr>
          <w:rFonts w:ascii="Times New Roman" w:eastAsia="Times New Roman" w:hAnsi="Times New Roman" w:cs="Times New Roman"/>
          <w:sz w:val="24"/>
          <w:szCs w:val="24"/>
        </w:rPr>
        <w:t>Dan</w:t>
      </w:r>
      <w:r>
        <w:rPr>
          <w:rFonts w:ascii="Times New Roman" w:eastAsia="Times New Roman" w:hAnsi="Times New Roman" w:cs="Times New Roman"/>
          <w:color w:val="000000"/>
          <w:sz w:val="24"/>
          <w:szCs w:val="24"/>
        </w:rPr>
        <w:t xml:space="preserve"> Perbankan, 14(1), 220–240</w:t>
      </w:r>
    </w:p>
    <w:p w:rsidR="00774682" w:rsidRDefault="00A117D1">
      <w:pPr>
        <w:pBdr>
          <w:top w:val="nil"/>
          <w:left w:val="nil"/>
          <w:bottom w:val="nil"/>
          <w:right w:val="nil"/>
          <w:between w:val="nil"/>
        </w:pBdr>
        <w:spacing w:line="240" w:lineRule="auto"/>
        <w:ind w:left="567" w:right="2"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Ghozali, I. (2018). </w:t>
      </w:r>
      <w:r>
        <w:rPr>
          <w:rFonts w:ascii="Times New Roman" w:eastAsia="Times New Roman" w:hAnsi="Times New Roman" w:cs="Times New Roman"/>
          <w:sz w:val="24"/>
          <w:szCs w:val="24"/>
        </w:rPr>
        <w:t>Aplikasi</w:t>
      </w:r>
      <w:r>
        <w:rPr>
          <w:rFonts w:ascii="Times New Roman" w:eastAsia="Times New Roman" w:hAnsi="Times New Roman" w:cs="Times New Roman"/>
          <w:color w:val="000000"/>
          <w:sz w:val="24"/>
          <w:szCs w:val="24"/>
        </w:rPr>
        <w:t xml:space="preserve"> Analisis Multivariate </w:t>
      </w:r>
      <w:r>
        <w:rPr>
          <w:rFonts w:ascii="Times New Roman" w:eastAsia="Times New Roman" w:hAnsi="Times New Roman" w:cs="Times New Roman"/>
          <w:sz w:val="24"/>
          <w:szCs w:val="24"/>
        </w:rPr>
        <w:t>dengan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Program</w:t>
      </w:r>
      <w:r>
        <w:rPr>
          <w:rFonts w:ascii="Times New Roman" w:eastAsia="Times New Roman" w:hAnsi="Times New Roman" w:cs="Times New Roman"/>
          <w:color w:val="000000"/>
          <w:sz w:val="24"/>
          <w:szCs w:val="24"/>
        </w:rPr>
        <w:t xml:space="preserve"> IBM SPSS 25. </w:t>
      </w:r>
      <w:r>
        <w:rPr>
          <w:rFonts w:ascii="Times New Roman" w:eastAsia="Times New Roman" w:hAnsi="Times New Roman" w:cs="Times New Roman"/>
          <w:sz w:val="24"/>
          <w:szCs w:val="24"/>
        </w:rPr>
        <w:t>Badan</w:t>
      </w:r>
      <w:r>
        <w:rPr>
          <w:rFonts w:ascii="Times New Roman" w:eastAsia="Times New Roman" w:hAnsi="Times New Roman" w:cs="Times New Roman"/>
          <w:color w:val="000000"/>
          <w:sz w:val="24"/>
          <w:szCs w:val="24"/>
        </w:rPr>
        <w:t xml:space="preserve"> Penerbit </w:t>
      </w:r>
      <w:r>
        <w:rPr>
          <w:rFonts w:ascii="Times New Roman" w:eastAsia="Times New Roman" w:hAnsi="Times New Roman" w:cs="Times New Roman"/>
          <w:sz w:val="24"/>
          <w:szCs w:val="24"/>
        </w:rPr>
        <w:t>Universitas</w:t>
      </w:r>
      <w:r>
        <w:rPr>
          <w:rFonts w:ascii="Times New Roman" w:eastAsia="Times New Roman" w:hAnsi="Times New Roman" w:cs="Times New Roman"/>
          <w:color w:val="000000"/>
          <w:sz w:val="24"/>
          <w:szCs w:val="24"/>
        </w:rPr>
        <w:t xml:space="preserve"> Diponegoro: </w:t>
      </w:r>
      <w:r>
        <w:rPr>
          <w:rFonts w:ascii="Times New Roman" w:eastAsia="Times New Roman" w:hAnsi="Times New Roman" w:cs="Times New Roman"/>
          <w:sz w:val="24"/>
          <w:szCs w:val="24"/>
        </w:rPr>
        <w:t>Semarang</w:t>
      </w:r>
      <w:r>
        <w:rPr>
          <w:rFonts w:ascii="Times New Roman" w:eastAsia="Times New Roman" w:hAnsi="Times New Roman" w:cs="Times New Roman"/>
          <w:color w:val="000000"/>
          <w:sz w:val="24"/>
          <w:szCs w:val="24"/>
        </w:rPr>
        <w:t>.</w:t>
      </w:r>
    </w:p>
    <w:p w:rsidR="00774682" w:rsidRDefault="00A117D1">
      <w:pPr>
        <w:pBdr>
          <w:top w:val="nil"/>
          <w:left w:val="nil"/>
          <w:bottom w:val="nil"/>
          <w:right w:val="nil"/>
          <w:between w:val="nil"/>
        </w:pBdr>
        <w:spacing w:line="240" w:lineRule="auto"/>
        <w:ind w:left="567" w:right="2"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Ikatan Akuntan Indonesia (IAI). (2020). </w:t>
      </w:r>
      <w:r>
        <w:rPr>
          <w:rFonts w:ascii="Times New Roman" w:eastAsia="Times New Roman" w:hAnsi="Times New Roman" w:cs="Times New Roman"/>
          <w:sz w:val="24"/>
          <w:szCs w:val="24"/>
        </w:rPr>
        <w:t>Pendapatan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Kon</w:t>
      </w:r>
      <w:r>
        <w:rPr>
          <w:rFonts w:ascii="Times New Roman" w:eastAsia="Times New Roman" w:hAnsi="Times New Roman" w:cs="Times New Roman"/>
          <w:sz w:val="24"/>
          <w:szCs w:val="24"/>
        </w:rPr>
        <w:t>trak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dengan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Pelanggan.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Pernyataan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Standar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Akuntansi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Keuangan</w:t>
      </w:r>
      <w:r>
        <w:rPr>
          <w:rFonts w:ascii="Times New Roman" w:eastAsia="Times New Roman" w:hAnsi="Times New Roman" w:cs="Times New Roman"/>
          <w:color w:val="000000"/>
          <w:sz w:val="24"/>
          <w:szCs w:val="24"/>
        </w:rPr>
        <w:t xml:space="preserve"> No. 72. DSAK IAI.</w:t>
      </w:r>
    </w:p>
    <w:p w:rsidR="00774682" w:rsidRDefault="00A117D1">
      <w:pPr>
        <w:pBdr>
          <w:top w:val="nil"/>
          <w:left w:val="nil"/>
          <w:bottom w:val="nil"/>
          <w:right w:val="nil"/>
          <w:between w:val="nil"/>
        </w:pBdr>
        <w:spacing w:line="240" w:lineRule="auto"/>
        <w:ind w:left="567" w:right="2"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Mashuri, A. A. S., &amp; Sari, R. H. D. P. (2021). Penerapan Kapitalisa</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i Sewa Operasi Terhadap </w:t>
      </w:r>
      <w:r>
        <w:rPr>
          <w:rFonts w:ascii="Times New Roman" w:eastAsia="Times New Roman" w:hAnsi="Times New Roman" w:cs="Times New Roman"/>
          <w:sz w:val="24"/>
          <w:szCs w:val="24"/>
        </w:rPr>
        <w:t>Laporan</w:t>
      </w:r>
      <w:r>
        <w:rPr>
          <w:rFonts w:ascii="Times New Roman" w:eastAsia="Times New Roman" w:hAnsi="Times New Roman" w:cs="Times New Roman"/>
          <w:color w:val="000000"/>
          <w:sz w:val="24"/>
          <w:szCs w:val="24"/>
        </w:rPr>
        <w:t xml:space="preserve"> Posisi </w:t>
      </w:r>
      <w:r>
        <w:rPr>
          <w:rFonts w:ascii="Times New Roman" w:eastAsia="Times New Roman" w:hAnsi="Times New Roman" w:cs="Times New Roman"/>
          <w:sz w:val="24"/>
          <w:szCs w:val="24"/>
        </w:rPr>
        <w:t>Keuangan</w:t>
      </w:r>
      <w:r>
        <w:rPr>
          <w:rFonts w:ascii="Times New Roman" w:eastAsia="Times New Roman" w:hAnsi="Times New Roman" w:cs="Times New Roman"/>
          <w:color w:val="000000"/>
          <w:sz w:val="24"/>
          <w:szCs w:val="24"/>
        </w:rPr>
        <w:t xml:space="preserve"> dan Rasio </w:t>
      </w:r>
      <w:r>
        <w:rPr>
          <w:rFonts w:ascii="Times New Roman" w:eastAsia="Times New Roman" w:hAnsi="Times New Roman" w:cs="Times New Roman"/>
          <w:sz w:val="24"/>
          <w:szCs w:val="24"/>
        </w:rPr>
        <w:t>Keuangan</w:t>
      </w:r>
      <w:r>
        <w:rPr>
          <w:rFonts w:ascii="Times New Roman" w:eastAsia="Times New Roman" w:hAnsi="Times New Roman" w:cs="Times New Roman"/>
          <w:color w:val="000000"/>
          <w:sz w:val="24"/>
          <w:szCs w:val="24"/>
        </w:rPr>
        <w:t xml:space="preserve"> pada Perusahaan di </w:t>
      </w:r>
      <w:r>
        <w:rPr>
          <w:rFonts w:ascii="Times New Roman" w:eastAsia="Times New Roman" w:hAnsi="Times New Roman" w:cs="Times New Roman"/>
          <w:sz w:val="24"/>
          <w:szCs w:val="24"/>
        </w:rPr>
        <w:t>Indonesia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Journal</w:t>
      </w:r>
      <w:r>
        <w:rPr>
          <w:rFonts w:ascii="Times New Roman" w:eastAsia="Times New Roman" w:hAnsi="Times New Roman" w:cs="Times New Roman"/>
          <w:color w:val="000000"/>
          <w:sz w:val="24"/>
          <w:szCs w:val="24"/>
        </w:rPr>
        <w:t xml:space="preserve"> of A</w:t>
      </w:r>
      <w:r>
        <w:rPr>
          <w:rFonts w:ascii="Times New Roman" w:eastAsia="Times New Roman" w:hAnsi="Times New Roman" w:cs="Times New Roman"/>
          <w:color w:val="000000"/>
          <w:sz w:val="24"/>
          <w:szCs w:val="24"/>
        </w:rPr>
        <w:t>pplied Managerial Accounting, 5(1), 164-181.</w:t>
      </w:r>
    </w:p>
    <w:p w:rsidR="00774682" w:rsidRDefault="00A117D1">
      <w:pPr>
        <w:pBdr>
          <w:top w:val="nil"/>
          <w:left w:val="nil"/>
          <w:bottom w:val="nil"/>
          <w:right w:val="nil"/>
          <w:between w:val="nil"/>
        </w:pBdr>
        <w:spacing w:line="240" w:lineRule="auto"/>
        <w:ind w:left="567" w:right="2"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Rafrini Amyulianthy, Rahmat, T. I., &amp; Munira, M. (2022). </w:t>
      </w:r>
      <w:r>
        <w:rPr>
          <w:rFonts w:ascii="Times New Roman" w:eastAsia="Times New Roman" w:hAnsi="Times New Roman" w:cs="Times New Roman"/>
          <w:sz w:val="24"/>
          <w:szCs w:val="24"/>
        </w:rPr>
        <w:t>Analisis</w:t>
      </w:r>
      <w:r>
        <w:rPr>
          <w:rFonts w:ascii="Times New Roman" w:eastAsia="Times New Roman" w:hAnsi="Times New Roman" w:cs="Times New Roman"/>
          <w:color w:val="000000"/>
          <w:sz w:val="24"/>
          <w:szCs w:val="24"/>
        </w:rPr>
        <w:t xml:space="preserve"> Dampak </w:t>
      </w:r>
      <w:r>
        <w:rPr>
          <w:rFonts w:ascii="Times New Roman" w:eastAsia="Times New Roman" w:hAnsi="Times New Roman" w:cs="Times New Roman"/>
          <w:sz w:val="24"/>
          <w:szCs w:val="24"/>
        </w:rPr>
        <w:t>Implementasi</w:t>
      </w:r>
      <w:r>
        <w:rPr>
          <w:rFonts w:ascii="Times New Roman" w:eastAsia="Times New Roman" w:hAnsi="Times New Roman" w:cs="Times New Roman"/>
          <w:color w:val="000000"/>
          <w:sz w:val="24"/>
          <w:szCs w:val="24"/>
        </w:rPr>
        <w:t xml:space="preserve"> PS</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K 72 Terhadap Kinerja </w:t>
      </w:r>
      <w:r>
        <w:rPr>
          <w:rFonts w:ascii="Times New Roman" w:eastAsia="Times New Roman" w:hAnsi="Times New Roman" w:cs="Times New Roman"/>
          <w:sz w:val="24"/>
          <w:szCs w:val="24"/>
        </w:rPr>
        <w:t>Keuangan</w:t>
      </w:r>
      <w:r>
        <w:rPr>
          <w:rFonts w:ascii="Times New Roman" w:eastAsia="Times New Roman" w:hAnsi="Times New Roman" w:cs="Times New Roman"/>
          <w:color w:val="000000"/>
          <w:sz w:val="24"/>
          <w:szCs w:val="24"/>
        </w:rPr>
        <w:t xml:space="preserve"> pada Perusahaan </w:t>
      </w:r>
      <w:r>
        <w:rPr>
          <w:rFonts w:ascii="Times New Roman" w:eastAsia="Times New Roman" w:hAnsi="Times New Roman" w:cs="Times New Roman"/>
          <w:sz w:val="24"/>
          <w:szCs w:val="24"/>
        </w:rPr>
        <w:t>Manufaktur</w:t>
      </w:r>
      <w:r>
        <w:rPr>
          <w:rFonts w:ascii="Times New Roman" w:eastAsia="Times New Roman" w:hAnsi="Times New Roman" w:cs="Times New Roman"/>
          <w:color w:val="000000"/>
          <w:sz w:val="24"/>
          <w:szCs w:val="24"/>
        </w:rPr>
        <w:t xml:space="preserve"> di </w:t>
      </w:r>
      <w:r>
        <w:rPr>
          <w:rFonts w:ascii="Times New Roman" w:eastAsia="Times New Roman" w:hAnsi="Times New Roman" w:cs="Times New Roman"/>
          <w:sz w:val="24"/>
          <w:szCs w:val="24"/>
        </w:rPr>
        <w:t>Indonesia</w:t>
      </w:r>
      <w:r>
        <w:rPr>
          <w:rFonts w:ascii="Times New Roman" w:eastAsia="Times New Roman" w:hAnsi="Times New Roman" w:cs="Times New Roman"/>
          <w:color w:val="000000"/>
          <w:sz w:val="24"/>
          <w:szCs w:val="24"/>
        </w:rPr>
        <w:t xml:space="preserve">. Jurnal Riset </w:t>
      </w:r>
      <w:r>
        <w:rPr>
          <w:rFonts w:ascii="Times New Roman" w:eastAsia="Times New Roman" w:hAnsi="Times New Roman" w:cs="Times New Roman"/>
          <w:sz w:val="24"/>
          <w:szCs w:val="24"/>
        </w:rPr>
        <w:t>Akuntansi</w:t>
      </w:r>
      <w:r>
        <w:rPr>
          <w:rFonts w:ascii="Times New Roman" w:eastAsia="Times New Roman" w:hAnsi="Times New Roman" w:cs="Times New Roman"/>
          <w:color w:val="000000"/>
          <w:sz w:val="24"/>
          <w:szCs w:val="24"/>
        </w:rPr>
        <w:t xml:space="preserve"> &amp; Perpajakan (JRAP), 9(2), 159 - 169.</w:t>
      </w:r>
    </w:p>
    <w:p w:rsidR="00774682" w:rsidRDefault="00A117D1">
      <w:pPr>
        <w:pBdr>
          <w:top w:val="nil"/>
          <w:left w:val="nil"/>
          <w:bottom w:val="nil"/>
          <w:right w:val="nil"/>
          <w:between w:val="nil"/>
        </w:pBdr>
        <w:spacing w:line="240" w:lineRule="auto"/>
        <w:ind w:left="567" w:right="2"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Rahayu, D., Rahmawati, I, D., Rini, D, D, O. (2021). Dampak </w:t>
      </w:r>
      <w:r>
        <w:rPr>
          <w:rFonts w:ascii="Times New Roman" w:eastAsia="Times New Roman" w:hAnsi="Times New Roman" w:cs="Times New Roman"/>
          <w:sz w:val="24"/>
          <w:szCs w:val="24"/>
        </w:rPr>
        <w:t>Implementasi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PSAK</w:t>
      </w:r>
      <w:r>
        <w:rPr>
          <w:rFonts w:ascii="Times New Roman" w:eastAsia="Times New Roman" w:hAnsi="Times New Roman" w:cs="Times New Roman"/>
          <w:color w:val="000000"/>
          <w:sz w:val="24"/>
          <w:szCs w:val="24"/>
        </w:rPr>
        <w:t xml:space="preserve"> 72 </w:t>
      </w:r>
      <w:r>
        <w:rPr>
          <w:rFonts w:ascii="Times New Roman" w:eastAsia="Times New Roman" w:hAnsi="Times New Roman" w:cs="Times New Roman"/>
          <w:sz w:val="24"/>
          <w:szCs w:val="24"/>
        </w:rPr>
        <w:t>terhadap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Kinerja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Keuangan</w:t>
      </w:r>
      <w:r>
        <w:rPr>
          <w:rFonts w:ascii="Times New Roman" w:eastAsia="Times New Roman" w:hAnsi="Times New Roman" w:cs="Times New Roman"/>
          <w:color w:val="000000"/>
          <w:sz w:val="24"/>
          <w:szCs w:val="24"/>
        </w:rPr>
        <w:t xml:space="preserve"> di Era </w:t>
      </w:r>
      <w:r>
        <w:rPr>
          <w:rFonts w:ascii="Times New Roman" w:eastAsia="Times New Roman" w:hAnsi="Times New Roman" w:cs="Times New Roman"/>
          <w:sz w:val="24"/>
          <w:szCs w:val="24"/>
        </w:rPr>
        <w:t>Pandemi</w:t>
      </w:r>
      <w:r>
        <w:rPr>
          <w:rFonts w:ascii="Times New Roman" w:eastAsia="Times New Roman" w:hAnsi="Times New Roman" w:cs="Times New Roman"/>
          <w:color w:val="000000"/>
          <w:sz w:val="24"/>
          <w:szCs w:val="24"/>
        </w:rPr>
        <w:t xml:space="preserve"> Covid-19. Prosiding Seminar </w:t>
      </w:r>
      <w:r>
        <w:rPr>
          <w:rFonts w:ascii="Times New Roman" w:eastAsia="Times New Roman" w:hAnsi="Times New Roman" w:cs="Times New Roman"/>
          <w:sz w:val="24"/>
          <w:szCs w:val="24"/>
        </w:rPr>
        <w:t>Nasional</w:t>
      </w:r>
      <w:r>
        <w:rPr>
          <w:rFonts w:ascii="Times New Roman" w:eastAsia="Times New Roman" w:hAnsi="Times New Roman" w:cs="Times New Roman"/>
          <w:color w:val="000000"/>
          <w:sz w:val="24"/>
          <w:szCs w:val="24"/>
        </w:rPr>
        <w:t xml:space="preserve"> Ekonomi dan Bisnis 2021 Universitas </w:t>
      </w:r>
      <w:r>
        <w:rPr>
          <w:rFonts w:ascii="Times New Roman" w:eastAsia="Times New Roman" w:hAnsi="Times New Roman" w:cs="Times New Roman"/>
          <w:sz w:val="24"/>
          <w:szCs w:val="24"/>
        </w:rPr>
        <w:t>Muhammadiyah</w:t>
      </w:r>
      <w:r>
        <w:rPr>
          <w:rFonts w:ascii="Times New Roman" w:eastAsia="Times New Roman" w:hAnsi="Times New Roman" w:cs="Times New Roman"/>
          <w:color w:val="000000"/>
          <w:sz w:val="24"/>
          <w:szCs w:val="24"/>
        </w:rPr>
        <w:t xml:space="preserve"> Jember. h</w:t>
      </w:r>
      <w:r>
        <w:rPr>
          <w:rFonts w:ascii="Times New Roman" w:eastAsia="Times New Roman" w:hAnsi="Times New Roman" w:cs="Times New Roman"/>
          <w:color w:val="000000"/>
          <w:sz w:val="24"/>
          <w:szCs w:val="24"/>
        </w:rPr>
        <w:t xml:space="preserve">al: 308 – 319. </w:t>
      </w:r>
    </w:p>
    <w:p w:rsidR="00774682" w:rsidRDefault="00A117D1">
      <w:pPr>
        <w:pBdr>
          <w:top w:val="nil"/>
          <w:left w:val="nil"/>
          <w:bottom w:val="nil"/>
          <w:right w:val="nil"/>
          <w:between w:val="nil"/>
        </w:pBdr>
        <w:spacing w:line="240" w:lineRule="auto"/>
        <w:ind w:left="567" w:right="2"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Taufiandia, A., &amp; Fadilah, S. (2023). </w:t>
      </w:r>
      <w:r>
        <w:rPr>
          <w:rFonts w:ascii="Times New Roman" w:eastAsia="Times New Roman" w:hAnsi="Times New Roman" w:cs="Times New Roman"/>
          <w:sz w:val="24"/>
          <w:szCs w:val="24"/>
        </w:rPr>
        <w:t>Pengaruh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Implementasi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Pengakuan</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sz w:val="24"/>
          <w:szCs w:val="24"/>
        </w:rPr>
        <w:t>Pengukuran</w:t>
      </w:r>
      <w:r>
        <w:rPr>
          <w:rFonts w:ascii="Times New Roman" w:eastAsia="Times New Roman" w:hAnsi="Times New Roman" w:cs="Times New Roman"/>
          <w:color w:val="000000"/>
          <w:sz w:val="24"/>
          <w:szCs w:val="24"/>
        </w:rPr>
        <w:t xml:space="preserve"> Pendapatan PSAK 72 </w:t>
      </w:r>
      <w:r>
        <w:rPr>
          <w:rFonts w:ascii="Times New Roman" w:eastAsia="Times New Roman" w:hAnsi="Times New Roman" w:cs="Times New Roman"/>
          <w:sz w:val="24"/>
          <w:szCs w:val="24"/>
        </w:rPr>
        <w:t>terhadap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Kinerja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Keuangan</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sz w:val="24"/>
          <w:szCs w:val="24"/>
        </w:rPr>
        <w:t>Bandung</w:t>
      </w:r>
      <w:r>
        <w:rPr>
          <w:rFonts w:ascii="Times New Roman" w:eastAsia="Times New Roman" w:hAnsi="Times New Roman" w:cs="Times New Roman"/>
          <w:color w:val="000000"/>
          <w:sz w:val="24"/>
          <w:szCs w:val="24"/>
        </w:rPr>
        <w:t xml:space="preserve"> Conference Series: </w:t>
      </w:r>
      <w:r>
        <w:rPr>
          <w:rFonts w:ascii="Times New Roman" w:eastAsia="Times New Roman" w:hAnsi="Times New Roman" w:cs="Times New Roman"/>
          <w:sz w:val="24"/>
          <w:szCs w:val="24"/>
        </w:rPr>
        <w:t>Accountancy</w:t>
      </w:r>
      <w:r>
        <w:rPr>
          <w:rFonts w:ascii="Times New Roman" w:eastAsia="Times New Roman" w:hAnsi="Times New Roman" w:cs="Times New Roman"/>
          <w:color w:val="000000"/>
          <w:sz w:val="24"/>
          <w:szCs w:val="24"/>
        </w:rPr>
        <w:t xml:space="preserve"> (Vol. 3, No. 1, pp. 648-654).</w:t>
      </w:r>
    </w:p>
    <w:p w:rsidR="00774682" w:rsidRDefault="00A117D1">
      <w:pPr>
        <w:pBdr>
          <w:top w:val="nil"/>
          <w:left w:val="nil"/>
          <w:bottom w:val="nil"/>
          <w:right w:val="nil"/>
          <w:between w:val="nil"/>
        </w:pBdr>
        <w:spacing w:line="240" w:lineRule="auto"/>
        <w:ind w:left="567" w:right="2"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Veronica, V., </w:t>
      </w:r>
      <w:r>
        <w:rPr>
          <w:rFonts w:ascii="Times New Roman" w:eastAsia="Times New Roman" w:hAnsi="Times New Roman" w:cs="Times New Roman"/>
          <w:sz w:val="24"/>
          <w:szCs w:val="24"/>
        </w:rPr>
        <w:t>Lestari,</w:t>
      </w:r>
      <w:r>
        <w:rPr>
          <w:rFonts w:ascii="Times New Roman" w:eastAsia="Times New Roman" w:hAnsi="Times New Roman" w:cs="Times New Roman"/>
          <w:color w:val="000000"/>
          <w:sz w:val="24"/>
          <w:szCs w:val="24"/>
        </w:rPr>
        <w:t xml:space="preserve"> U. P., &amp; Metek</w:t>
      </w:r>
      <w:r>
        <w:rPr>
          <w:rFonts w:ascii="Times New Roman" w:eastAsia="Times New Roman" w:hAnsi="Times New Roman" w:cs="Times New Roman"/>
          <w:color w:val="000000"/>
          <w:sz w:val="24"/>
          <w:szCs w:val="24"/>
        </w:rPr>
        <w:t>ohy, E. Y. (2019, August). Analisis dampak penerapan pengakuan pendapatan berdasarkan PS</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K 72 terhadap </w:t>
      </w:r>
      <w:r>
        <w:rPr>
          <w:rFonts w:ascii="Times New Roman" w:eastAsia="Times New Roman" w:hAnsi="Times New Roman" w:cs="Times New Roman"/>
          <w:sz w:val="24"/>
          <w:szCs w:val="24"/>
        </w:rPr>
        <w:t>kinerja</w:t>
      </w:r>
      <w:r>
        <w:rPr>
          <w:rFonts w:ascii="Times New Roman" w:eastAsia="Times New Roman" w:hAnsi="Times New Roman" w:cs="Times New Roman"/>
          <w:color w:val="000000"/>
          <w:sz w:val="24"/>
          <w:szCs w:val="24"/>
        </w:rPr>
        <w:t xml:space="preserve"> keuangan perusahaan real estat di </w:t>
      </w:r>
      <w:r>
        <w:rPr>
          <w:rFonts w:ascii="Times New Roman" w:eastAsia="Times New Roman" w:hAnsi="Times New Roman" w:cs="Times New Roman"/>
          <w:sz w:val="24"/>
          <w:szCs w:val="24"/>
        </w:rPr>
        <w:t>Indonesia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yang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terdaftar</w:t>
      </w:r>
      <w:r>
        <w:rPr>
          <w:rFonts w:ascii="Times New Roman" w:eastAsia="Times New Roman" w:hAnsi="Times New Roman" w:cs="Times New Roman"/>
          <w:color w:val="000000"/>
          <w:sz w:val="24"/>
          <w:szCs w:val="24"/>
        </w:rPr>
        <w:t xml:space="preserve"> di </w:t>
      </w:r>
      <w:r>
        <w:rPr>
          <w:rFonts w:ascii="Times New Roman" w:eastAsia="Times New Roman" w:hAnsi="Times New Roman" w:cs="Times New Roman"/>
          <w:sz w:val="24"/>
          <w:szCs w:val="24"/>
        </w:rPr>
        <w:t>Bursa</w:t>
      </w:r>
      <w:r>
        <w:rPr>
          <w:rFonts w:ascii="Times New Roman" w:eastAsia="Times New Roman" w:hAnsi="Times New Roman" w:cs="Times New Roman"/>
          <w:color w:val="000000"/>
          <w:sz w:val="24"/>
          <w:szCs w:val="24"/>
        </w:rPr>
        <w:t xml:space="preserve"> Efek </w:t>
      </w:r>
      <w:r>
        <w:rPr>
          <w:rFonts w:ascii="Times New Roman" w:eastAsia="Times New Roman" w:hAnsi="Times New Roman" w:cs="Times New Roman"/>
          <w:sz w:val="24"/>
          <w:szCs w:val="24"/>
        </w:rPr>
        <w:t>Indonesia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tahun</w:t>
      </w:r>
      <w:r>
        <w:rPr>
          <w:rFonts w:ascii="Times New Roman" w:eastAsia="Times New Roman" w:hAnsi="Times New Roman" w:cs="Times New Roman"/>
          <w:color w:val="000000"/>
          <w:sz w:val="24"/>
          <w:szCs w:val="24"/>
        </w:rPr>
        <w:t xml:space="preserve"> 2018. In Prosiding Industrial </w:t>
      </w:r>
      <w:r>
        <w:rPr>
          <w:rFonts w:ascii="Times New Roman" w:eastAsia="Times New Roman" w:hAnsi="Times New Roman" w:cs="Times New Roman"/>
          <w:sz w:val="24"/>
          <w:szCs w:val="24"/>
        </w:rPr>
        <w:t>Research</w:t>
      </w:r>
      <w:r>
        <w:rPr>
          <w:rFonts w:ascii="Times New Roman" w:eastAsia="Times New Roman" w:hAnsi="Times New Roman" w:cs="Times New Roman"/>
          <w:color w:val="000000"/>
          <w:sz w:val="24"/>
          <w:szCs w:val="24"/>
        </w:rPr>
        <w:t xml:space="preserve"> Workshop </w:t>
      </w:r>
      <w:r>
        <w:rPr>
          <w:rFonts w:ascii="Times New Roman" w:eastAsia="Times New Roman" w:hAnsi="Times New Roman" w:cs="Times New Roman"/>
          <w:sz w:val="24"/>
          <w:szCs w:val="24"/>
        </w:rPr>
        <w:t>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National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Seminar</w:t>
      </w:r>
      <w:r>
        <w:rPr>
          <w:rFonts w:ascii="Times New Roman" w:eastAsia="Times New Roman" w:hAnsi="Times New Roman" w:cs="Times New Roman"/>
          <w:color w:val="000000"/>
          <w:sz w:val="24"/>
          <w:szCs w:val="24"/>
        </w:rPr>
        <w:t xml:space="preserve"> (Vol. 10, No. 1, pp. 965-973).</w:t>
      </w:r>
    </w:p>
    <w:p w:rsidR="00774682" w:rsidRDefault="00A117D1">
      <w:pPr>
        <w:pBdr>
          <w:top w:val="nil"/>
          <w:left w:val="nil"/>
          <w:bottom w:val="nil"/>
          <w:right w:val="nil"/>
          <w:between w:val="nil"/>
        </w:pBdr>
        <w:spacing w:line="240" w:lineRule="auto"/>
        <w:ind w:left="567" w:right="2"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Wisnantiasri,   S.   N.   (2018), Pengaruh   PSAK   72:   Pendapatan   Dari   Kontrak   Dengan </w:t>
      </w:r>
      <w:r>
        <w:rPr>
          <w:rFonts w:ascii="Times New Roman" w:eastAsia="Times New Roman" w:hAnsi="Times New Roman" w:cs="Times New Roman"/>
          <w:sz w:val="24"/>
          <w:szCs w:val="24"/>
        </w:rPr>
        <w:t>Pelanggan Terhadap</w:t>
      </w:r>
      <w:r>
        <w:rPr>
          <w:rFonts w:ascii="Times New Roman" w:eastAsia="Times New Roman" w:hAnsi="Times New Roman" w:cs="Times New Roman"/>
          <w:color w:val="000000"/>
          <w:sz w:val="24"/>
          <w:szCs w:val="24"/>
        </w:rPr>
        <w:t xml:space="preserve"> Shareholder </w:t>
      </w:r>
      <w:r>
        <w:rPr>
          <w:rFonts w:ascii="Times New Roman" w:eastAsia="Times New Roman" w:hAnsi="Times New Roman" w:cs="Times New Roman"/>
          <w:sz w:val="24"/>
          <w:szCs w:val="24"/>
        </w:rPr>
        <w:t>Value</w:t>
      </w:r>
      <w:r>
        <w:rPr>
          <w:rFonts w:ascii="Times New Roman" w:eastAsia="Times New Roman" w:hAnsi="Times New Roman" w:cs="Times New Roman"/>
          <w:color w:val="000000"/>
          <w:sz w:val="24"/>
          <w:szCs w:val="24"/>
        </w:rPr>
        <w:t>.Vol. 5 No.1, hlm 61.</w:t>
      </w:r>
    </w:p>
    <w:p w:rsidR="00774682" w:rsidRDefault="00774682">
      <w:pPr>
        <w:spacing w:line="240" w:lineRule="auto"/>
        <w:ind w:right="2"/>
        <w:jc w:val="both"/>
        <w:rPr>
          <w:rFonts w:ascii="Times New Roman" w:eastAsia="Times New Roman" w:hAnsi="Times New Roman" w:cs="Times New Roman"/>
          <w:sz w:val="24"/>
          <w:szCs w:val="24"/>
        </w:rPr>
      </w:pPr>
    </w:p>
    <w:p w:rsidR="00774682" w:rsidRDefault="00774682">
      <w:pPr>
        <w:spacing w:line="240" w:lineRule="auto"/>
        <w:ind w:right="2"/>
        <w:jc w:val="both"/>
        <w:rPr>
          <w:rFonts w:ascii="Times New Roman" w:eastAsia="Times New Roman" w:hAnsi="Times New Roman" w:cs="Times New Roman"/>
          <w:color w:val="222222"/>
          <w:sz w:val="24"/>
          <w:szCs w:val="24"/>
          <w:highlight w:val="white"/>
        </w:rPr>
      </w:pPr>
    </w:p>
    <w:sectPr w:rsidR="00774682">
      <w:type w:val="continuous"/>
      <w:pgSz w:w="11909" w:h="16834"/>
      <w:pgMar w:top="1701" w:right="1701" w:bottom="1701" w:left="1701" w:header="708" w:footer="708" w:gutter="0"/>
      <w:cols w:num="2" w:space="720" w:equalWidth="0">
        <w:col w:w="3893" w:space="720"/>
        <w:col w:w="389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7D1" w:rsidRDefault="00A117D1">
      <w:pPr>
        <w:spacing w:line="240" w:lineRule="auto"/>
      </w:pPr>
      <w:r>
        <w:separator/>
      </w:r>
    </w:p>
  </w:endnote>
  <w:endnote w:type="continuationSeparator" w:id="0">
    <w:p w:rsidR="00A117D1" w:rsidRDefault="00A11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82" w:rsidRDefault="00A117D1">
    <w:pPr>
      <w:pBdr>
        <w:top w:val="nil"/>
        <w:left w:val="nil"/>
        <w:bottom w:val="nil"/>
        <w:right w:val="nil"/>
        <w:between w:val="nil"/>
      </w:pBdr>
      <w:tabs>
        <w:tab w:val="center" w:pos="4513"/>
        <w:tab w:val="right" w:pos="902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A032B5">
      <w:rPr>
        <w:rFonts w:ascii="Times New Roman" w:eastAsia="Times New Roman" w:hAnsi="Times New Roman" w:cs="Times New Roman"/>
        <w:color w:val="000000"/>
        <w:sz w:val="24"/>
        <w:szCs w:val="24"/>
      </w:rPr>
      <w:fldChar w:fldCharType="separate"/>
    </w:r>
    <w:r w:rsidR="00A032B5">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82" w:rsidRDefault="00A117D1">
    <w:pPr>
      <w:pBdr>
        <w:top w:val="nil"/>
        <w:left w:val="nil"/>
        <w:bottom w:val="nil"/>
        <w:right w:val="nil"/>
        <w:between w:val="nil"/>
      </w:pBdr>
      <w:tabs>
        <w:tab w:val="center" w:pos="4513"/>
        <w:tab w:val="right" w:pos="902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A032B5">
      <w:rPr>
        <w:rFonts w:ascii="Times New Roman" w:eastAsia="Times New Roman" w:hAnsi="Times New Roman" w:cs="Times New Roman"/>
        <w:color w:val="000000"/>
        <w:sz w:val="24"/>
        <w:szCs w:val="24"/>
      </w:rPr>
      <w:fldChar w:fldCharType="separate"/>
    </w:r>
    <w:r w:rsidR="00A032B5">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7D1" w:rsidRDefault="00A117D1">
      <w:pPr>
        <w:spacing w:line="240" w:lineRule="auto"/>
      </w:pPr>
      <w:r>
        <w:separator/>
      </w:r>
    </w:p>
  </w:footnote>
  <w:footnote w:type="continuationSeparator" w:id="0">
    <w:p w:rsidR="00A117D1" w:rsidRDefault="00A117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82" w:rsidRDefault="00A117D1">
    <w:pPr>
      <w:pBdr>
        <w:top w:val="nil"/>
        <w:left w:val="nil"/>
        <w:bottom w:val="nil"/>
        <w:right w:val="nil"/>
        <w:between w:val="nil"/>
      </w:pBdr>
      <w:tabs>
        <w:tab w:val="center" w:pos="4513"/>
        <w:tab w:val="right" w:pos="9026"/>
      </w:tabs>
      <w:spacing w:line="240" w:lineRule="auto"/>
      <w:jc w:val="right"/>
      <w:rPr>
        <w:color w:val="000000"/>
      </w:rPr>
    </w:pPr>
    <w:bookmarkStart w:id="1" w:name="_30j0zll" w:colFirst="0" w:colLast="0"/>
    <w:bookmarkEnd w:id="1"/>
    <w:r>
      <w:rPr>
        <w:rFonts w:ascii="Times New Roman" w:eastAsia="Times New Roman" w:hAnsi="Times New Roman" w:cs="Times New Roman"/>
        <w:i/>
        <w:color w:val="000000"/>
      </w:rPr>
      <w:t xml:space="preserve">2024. COSTING:Journal of Economic, Business and Accounting </w:t>
    </w:r>
    <w:r>
      <w:rPr>
        <w:rFonts w:ascii="Times New Roman" w:eastAsia="Times New Roman" w:hAnsi="Times New Roman" w:cs="Times New Roman"/>
        <w:color w:val="000000"/>
      </w:rPr>
      <w:t>7(</w:t>
    </w:r>
    <w:r w:rsidR="00A032B5">
      <w:rPr>
        <w:rFonts w:ascii="Times New Roman" w:eastAsia="Times New Roman" w:hAnsi="Times New Roman" w:cs="Times New Roman"/>
        <w:color w:val="000000"/>
      </w:rPr>
      <w:t>4</w:t>
    </w:r>
    <w:r>
      <w:rPr>
        <w:rFonts w:ascii="Times New Roman" w:eastAsia="Times New Roman" w:hAnsi="Times New Roman" w:cs="Times New Roman"/>
        <w:color w:val="000000"/>
      </w:rPr>
      <w:t>):</w:t>
    </w:r>
    <w:r w:rsidR="00A032B5">
      <w:rPr>
        <w:rFonts w:ascii="Times New Roman" w:eastAsia="Times New Roman" w:hAnsi="Times New Roman" w:cs="Times New Roman"/>
        <w:color w:val="000000"/>
      </w:rPr>
      <w:t>9171-9180</w:t>
    </w:r>
  </w:p>
  <w:p w:rsidR="00774682" w:rsidRDefault="00774682">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82" w:rsidRDefault="00A117D1">
    <w:pPr>
      <w:pBdr>
        <w:top w:val="nil"/>
        <w:left w:val="nil"/>
        <w:bottom w:val="nil"/>
        <w:right w:val="nil"/>
        <w:between w:val="nil"/>
      </w:pBdr>
      <w:tabs>
        <w:tab w:val="center" w:pos="4513"/>
        <w:tab w:val="right" w:pos="9026"/>
      </w:tabs>
      <w:spacing w:line="240" w:lineRule="auto"/>
      <w:rPr>
        <w:rFonts w:ascii="Times New Roman" w:eastAsia="Times New Roman" w:hAnsi="Times New Roman" w:cs="Times New Roman"/>
        <w:color w:val="000000"/>
      </w:rPr>
    </w:pPr>
    <w:bookmarkStart w:id="2" w:name="_1fob9te" w:colFirst="0" w:colLast="0"/>
    <w:bookmarkEnd w:id="2"/>
    <w:r>
      <w:rPr>
        <w:rFonts w:ascii="Times New Roman" w:eastAsia="Times New Roman" w:hAnsi="Times New Roman" w:cs="Times New Roman"/>
        <w:b/>
        <w:color w:val="000000"/>
      </w:rPr>
      <w:t xml:space="preserve">COSTING:Journal of Economic, Business and Accounting </w:t>
    </w:r>
    <w:r>
      <w:rPr>
        <w:rFonts w:ascii="Times New Roman" w:eastAsia="Times New Roman" w:hAnsi="Times New Roman" w:cs="Times New Roman"/>
        <w:b/>
        <w:color w:val="000000"/>
      </w:rPr>
      <w:tab/>
    </w:r>
    <w:r>
      <w:rPr>
        <w:noProof/>
      </w:rPr>
      <w:drawing>
        <wp:anchor distT="0" distB="0" distL="114300" distR="114300" simplePos="0" relativeHeight="251658240" behindDoc="0" locked="0" layoutInCell="1" hidden="0" allowOverlap="1">
          <wp:simplePos x="0" y="0"/>
          <wp:positionH relativeFrom="column">
            <wp:posOffset>4372610</wp:posOffset>
          </wp:positionH>
          <wp:positionV relativeFrom="paragraph">
            <wp:posOffset>-200024</wp:posOffset>
          </wp:positionV>
          <wp:extent cx="1174115" cy="8064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802" t="35503" r="74052" b="50886"/>
                  <a:stretch>
                    <a:fillRect/>
                  </a:stretch>
                </pic:blipFill>
                <pic:spPr>
                  <a:xfrm>
                    <a:off x="0" y="0"/>
                    <a:ext cx="1174115" cy="806450"/>
                  </a:xfrm>
                  <a:prstGeom prst="rect">
                    <a:avLst/>
                  </a:prstGeom>
                  <a:ln/>
                </pic:spPr>
              </pic:pic>
            </a:graphicData>
          </a:graphic>
        </wp:anchor>
      </w:drawing>
    </w:r>
  </w:p>
  <w:p w:rsidR="00774682" w:rsidRDefault="00A117D1">
    <w:pPr>
      <w:tabs>
        <w:tab w:val="center" w:pos="4680"/>
        <w:tab w:val="left" w:pos="6300"/>
        <w:tab w:val="left" w:pos="6390"/>
        <w:tab w:val="right" w:pos="9360"/>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Volume 7 Nomor </w:t>
    </w:r>
    <w:r w:rsidR="00A032B5">
      <w:rPr>
        <w:rFonts w:ascii="Times New Roman" w:eastAsia="Times New Roman" w:hAnsi="Times New Roman" w:cs="Times New Roman"/>
      </w:rPr>
      <w:t>4</w:t>
    </w:r>
    <w:r>
      <w:rPr>
        <w:rFonts w:ascii="Times New Roman" w:eastAsia="Times New Roman" w:hAnsi="Times New Roman" w:cs="Times New Roman"/>
      </w:rPr>
      <w:t>, Tahun 2024</w:t>
    </w:r>
    <w:r>
      <w:rPr>
        <w:rFonts w:ascii="Times New Roman" w:eastAsia="Times New Roman" w:hAnsi="Times New Roman" w:cs="Times New Roman"/>
      </w:rPr>
      <w:tab/>
    </w:r>
    <w:r>
      <w:rPr>
        <w:rFonts w:ascii="Times New Roman" w:eastAsia="Times New Roman" w:hAnsi="Times New Roman" w:cs="Times New Roman"/>
      </w:rPr>
      <w:tab/>
    </w:r>
  </w:p>
  <w:p w:rsidR="00774682" w:rsidRDefault="00A117D1">
    <w:pPr>
      <w:tabs>
        <w:tab w:val="center" w:pos="4252"/>
      </w:tabs>
      <w:spacing w:line="240" w:lineRule="auto"/>
      <w:rPr>
        <w:rFonts w:ascii="Times New Roman" w:eastAsia="Times New Roman" w:hAnsi="Times New Roman" w:cs="Times New Roman"/>
      </w:rPr>
    </w:pPr>
    <w:r>
      <w:rPr>
        <w:rFonts w:ascii="Times New Roman" w:eastAsia="Times New Roman" w:hAnsi="Times New Roman" w:cs="Times New Roman"/>
      </w:rPr>
      <w:t>e-ISSN : 2597-5234</w:t>
    </w:r>
    <w:r>
      <w:rPr>
        <w:rFonts w:ascii="Times New Roman" w:eastAsia="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F7745"/>
    <w:multiLevelType w:val="multilevel"/>
    <w:tmpl w:val="BC6029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6295906"/>
    <w:multiLevelType w:val="multilevel"/>
    <w:tmpl w:val="F136640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9904F59"/>
    <w:multiLevelType w:val="multilevel"/>
    <w:tmpl w:val="84FAE0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5B546279"/>
    <w:multiLevelType w:val="multilevel"/>
    <w:tmpl w:val="328C6D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82"/>
    <w:rsid w:val="00774682"/>
    <w:rsid w:val="00A032B5"/>
    <w:rsid w:val="00A117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E45678C"/>
  <w15:docId w15:val="{867E0346-A220-5B4B-A7AA-02BA85AA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v-SE"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032B5"/>
    <w:pPr>
      <w:tabs>
        <w:tab w:val="center" w:pos="4680"/>
        <w:tab w:val="right" w:pos="9360"/>
      </w:tabs>
      <w:spacing w:line="240" w:lineRule="auto"/>
    </w:pPr>
  </w:style>
  <w:style w:type="character" w:customStyle="1" w:styleId="HeaderChar">
    <w:name w:val="Header Char"/>
    <w:basedOn w:val="DefaultParagraphFont"/>
    <w:link w:val="Header"/>
    <w:uiPriority w:val="99"/>
    <w:rsid w:val="00A032B5"/>
  </w:style>
  <w:style w:type="paragraph" w:styleId="Footer">
    <w:name w:val="footer"/>
    <w:basedOn w:val="Normal"/>
    <w:link w:val="FooterChar"/>
    <w:uiPriority w:val="99"/>
    <w:unhideWhenUsed/>
    <w:rsid w:val="00A032B5"/>
    <w:pPr>
      <w:tabs>
        <w:tab w:val="center" w:pos="4680"/>
        <w:tab w:val="right" w:pos="9360"/>
      </w:tabs>
      <w:spacing w:line="240" w:lineRule="auto"/>
    </w:pPr>
  </w:style>
  <w:style w:type="character" w:customStyle="1" w:styleId="FooterChar">
    <w:name w:val="Footer Char"/>
    <w:basedOn w:val="DefaultParagraphFont"/>
    <w:link w:val="Footer"/>
    <w:uiPriority w:val="99"/>
    <w:rsid w:val="00A0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5552210017@untirta.ac.id"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5552210072@untirta.ac.i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zliawati@untirta.ac.id" TargetMode="External"/><Relationship Id="rId4" Type="http://schemas.openxmlformats.org/officeDocument/2006/relationships/webSettings" Target="webSettings.xml"/><Relationship Id="rId9" Type="http://schemas.openxmlformats.org/officeDocument/2006/relationships/hyperlink" Target="mailto:5552210127@untirta.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4698</Words>
  <Characters>26781</Characters>
  <Application>Microsoft Office Word</Application>
  <DocSecurity>0</DocSecurity>
  <Lines>223</Lines>
  <Paragraphs>62</Paragraphs>
  <ScaleCrop>false</ScaleCrop>
  <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2024-06-24T10:40:00Z</dcterms:created>
  <dcterms:modified xsi:type="dcterms:W3CDTF">2024-06-24T10:54:00Z</dcterms:modified>
</cp:coreProperties>
</file>