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6C519" w14:textId="77777777" w:rsidR="00A4443C" w:rsidRDefault="00A4443C" w:rsidP="00F853B2">
      <w:pPr>
        <w:spacing w:after="0" w:line="240" w:lineRule="auto"/>
        <w:jc w:val="center"/>
        <w:rPr>
          <w:rFonts w:ascii="Times New Roman" w:hAnsi="Times New Roman" w:cs="Times New Roman"/>
          <w:b/>
          <w:sz w:val="24"/>
          <w:szCs w:val="24"/>
        </w:rPr>
      </w:pPr>
    </w:p>
    <w:p w14:paraId="79F4123E" w14:textId="7CFE63EA" w:rsidR="00A06C71" w:rsidRPr="00956C22" w:rsidRDefault="007F221B" w:rsidP="007F221B">
      <w:pPr>
        <w:spacing w:after="0" w:line="240" w:lineRule="auto"/>
        <w:jc w:val="center"/>
        <w:rPr>
          <w:rFonts w:ascii="Times New Roman" w:hAnsi="Times New Roman" w:cs="Times New Roman"/>
          <w:b/>
          <w:i/>
          <w:sz w:val="24"/>
          <w:szCs w:val="24"/>
        </w:rPr>
      </w:pPr>
      <w:r w:rsidRPr="00956C22">
        <w:rPr>
          <w:rFonts w:ascii="Times New Roman" w:hAnsi="Times New Roman" w:cs="Times New Roman"/>
          <w:b/>
          <w:i/>
          <w:sz w:val="24"/>
          <w:szCs w:val="24"/>
        </w:rPr>
        <w:t>ANALYSIS OF FACTORS AFFECTING FOREIGN DIRECT INVESTMENT (FDI) IN THREE COUNTRIES ASEAN REGION</w:t>
      </w:r>
    </w:p>
    <w:p w14:paraId="07934985" w14:textId="77777777" w:rsidR="007F221B" w:rsidRPr="007F221B" w:rsidRDefault="007F221B" w:rsidP="00956C22">
      <w:pPr>
        <w:spacing w:after="0" w:line="240" w:lineRule="auto"/>
        <w:rPr>
          <w:rFonts w:ascii="Times New Roman" w:hAnsi="Times New Roman" w:cs="Times New Roman"/>
          <w:b/>
          <w:sz w:val="24"/>
          <w:szCs w:val="24"/>
        </w:rPr>
      </w:pPr>
    </w:p>
    <w:p w14:paraId="5A3FF4B3" w14:textId="1EC6E066" w:rsidR="007F221B" w:rsidRPr="00F853B2" w:rsidRDefault="007F221B" w:rsidP="007F221B">
      <w:pPr>
        <w:spacing w:after="0" w:line="240" w:lineRule="auto"/>
        <w:jc w:val="center"/>
        <w:rPr>
          <w:rFonts w:ascii="Times New Roman" w:hAnsi="Times New Roman" w:cs="Times New Roman"/>
          <w:b/>
          <w:sz w:val="24"/>
          <w:szCs w:val="24"/>
        </w:rPr>
      </w:pPr>
      <w:r w:rsidRPr="007F221B">
        <w:rPr>
          <w:rFonts w:ascii="Times New Roman" w:hAnsi="Times New Roman" w:cs="Times New Roman"/>
          <w:b/>
          <w:sz w:val="24"/>
          <w:szCs w:val="24"/>
        </w:rPr>
        <w:t>ANALISIS FAKTOR - FAKTOR YANG MEMPENGARUHI FOREIGN DIRECT INVESTMENT (FDI) DI TIGA NEGARA KAWASAN ASEAN</w:t>
      </w:r>
    </w:p>
    <w:p w14:paraId="236CBD46" w14:textId="77777777" w:rsidR="00F853B2" w:rsidRDefault="00F853B2" w:rsidP="00F853B2">
      <w:pPr>
        <w:spacing w:after="0" w:line="240" w:lineRule="auto"/>
        <w:jc w:val="center"/>
        <w:rPr>
          <w:rFonts w:ascii="Times New Roman" w:hAnsi="Times New Roman" w:cs="Times New Roman"/>
          <w:b/>
          <w:sz w:val="20"/>
          <w:szCs w:val="20"/>
          <w:lang w:eastAsia="ja-JP"/>
        </w:rPr>
      </w:pPr>
    </w:p>
    <w:p w14:paraId="1DA5FDB9" w14:textId="20AE3894" w:rsidR="00D76306" w:rsidRPr="00F04C62" w:rsidRDefault="007F221B" w:rsidP="00EA77C3">
      <w:pPr>
        <w:spacing w:after="0" w:line="240" w:lineRule="auto"/>
        <w:jc w:val="center"/>
        <w:rPr>
          <w:rFonts w:ascii="Times New Roman" w:hAnsi="Times New Roman" w:cs="Times New Roman"/>
          <w:b/>
          <w:sz w:val="20"/>
          <w:szCs w:val="20"/>
          <w:vertAlign w:val="superscript"/>
          <w:lang w:eastAsia="ja-JP"/>
        </w:rPr>
      </w:pPr>
      <w:r>
        <w:rPr>
          <w:rFonts w:ascii="Times New Roman" w:hAnsi="Times New Roman" w:cs="Times New Roman"/>
          <w:b/>
          <w:sz w:val="20"/>
          <w:szCs w:val="20"/>
          <w:lang w:eastAsia="ja-JP"/>
        </w:rPr>
        <w:t>Rizky</w:t>
      </w:r>
      <w:r w:rsidR="007A003A" w:rsidRPr="007A003A">
        <w:t xml:space="preserve"> </w:t>
      </w:r>
      <w:r w:rsidR="007A003A">
        <w:rPr>
          <w:rFonts w:ascii="Times New Roman" w:hAnsi="Times New Roman" w:cs="Times New Roman"/>
          <w:b/>
          <w:sz w:val="20"/>
          <w:szCs w:val="20"/>
          <w:lang w:eastAsia="ja-JP"/>
        </w:rPr>
        <w:t>Azlina Siregar</w:t>
      </w:r>
      <w:r w:rsidR="00F04C62">
        <w:rPr>
          <w:rFonts w:ascii="Times New Roman" w:hAnsi="Times New Roman" w:cs="Times New Roman"/>
          <w:b/>
          <w:sz w:val="20"/>
          <w:szCs w:val="20"/>
          <w:lang w:eastAsia="ja-JP"/>
        </w:rPr>
        <w:t xml:space="preserve">, </w:t>
      </w:r>
      <w:r w:rsidR="00F04C62" w:rsidRPr="00F04C62">
        <w:rPr>
          <w:rFonts w:ascii="Times New Roman" w:hAnsi="Times New Roman" w:cs="Times New Roman"/>
          <w:b/>
          <w:sz w:val="20"/>
          <w:szCs w:val="20"/>
          <w:lang w:eastAsia="ja-JP"/>
        </w:rPr>
        <w:t>Paidi hidaya</w:t>
      </w:r>
      <w:r w:rsidR="00F04C62">
        <w:rPr>
          <w:rFonts w:ascii="Times New Roman" w:hAnsi="Times New Roman" w:cs="Times New Roman"/>
          <w:b/>
          <w:sz w:val="20"/>
          <w:szCs w:val="20"/>
          <w:lang w:eastAsia="ja-JP"/>
        </w:rPr>
        <w:t xml:space="preserve">t, </w:t>
      </w:r>
      <w:r w:rsidR="00F04C62" w:rsidRPr="00F04C62">
        <w:rPr>
          <w:rFonts w:ascii="Times New Roman" w:hAnsi="Times New Roman" w:cs="Times New Roman"/>
          <w:b/>
          <w:sz w:val="20"/>
          <w:szCs w:val="20"/>
          <w:lang w:eastAsia="ja-JP"/>
        </w:rPr>
        <w:t>M. Syafii</w:t>
      </w:r>
      <w:r w:rsidR="00F04C62">
        <w:rPr>
          <w:rFonts w:ascii="Times New Roman" w:hAnsi="Times New Roman" w:cs="Times New Roman"/>
          <w:b/>
          <w:sz w:val="20"/>
          <w:szCs w:val="20"/>
          <w:vertAlign w:val="superscript"/>
          <w:lang w:eastAsia="ja-JP"/>
        </w:rPr>
        <w:t>1,2,3</w:t>
      </w:r>
    </w:p>
    <w:p w14:paraId="04036D24" w14:textId="14314327" w:rsidR="00EA77C3" w:rsidRDefault="007F221B" w:rsidP="00F853B2">
      <w:pPr>
        <w:spacing w:after="0" w:line="240" w:lineRule="auto"/>
        <w:jc w:val="center"/>
        <w:rPr>
          <w:rFonts w:ascii="Times New Roman" w:hAnsi="Times New Roman" w:cs="Times New Roman"/>
          <w:sz w:val="20"/>
          <w:szCs w:val="20"/>
          <w:lang w:eastAsia="ja-JP"/>
        </w:rPr>
      </w:pPr>
      <w:r>
        <w:rPr>
          <w:rFonts w:ascii="Times New Roman" w:hAnsi="Times New Roman" w:cs="Times New Roman"/>
          <w:sz w:val="20"/>
          <w:szCs w:val="20"/>
          <w:lang w:eastAsia="ja-JP"/>
        </w:rPr>
        <w:t>Fakultas Ekonomi dan Bisnis, Universitas Sumatera Utara, Indonesia</w:t>
      </w:r>
    </w:p>
    <w:p w14:paraId="127EA3C5" w14:textId="403E22D3" w:rsidR="00D76306" w:rsidRDefault="0060497D" w:rsidP="00F853B2">
      <w:pPr>
        <w:spacing w:after="0" w:line="240" w:lineRule="auto"/>
        <w:jc w:val="center"/>
        <w:rPr>
          <w:rFonts w:ascii="Times New Roman" w:hAnsi="Times New Roman" w:cs="Times New Roman"/>
          <w:sz w:val="20"/>
          <w:szCs w:val="20"/>
          <w:lang w:eastAsia="ja-JP"/>
        </w:rPr>
      </w:pPr>
      <w:hyperlink r:id="rId7" w:history="1">
        <w:r w:rsidR="00F04C62" w:rsidRPr="00920B97">
          <w:rPr>
            <w:rStyle w:val="Hyperlink"/>
            <w:rFonts w:ascii="Times New Roman" w:hAnsi="Times New Roman" w:cs="Times New Roman"/>
            <w:sz w:val="20"/>
            <w:szCs w:val="20"/>
            <w:lang w:eastAsia="ja-JP"/>
          </w:rPr>
          <w:t>rizkyazlinasiregar5@gmail.com</w:t>
        </w:r>
      </w:hyperlink>
      <w:r w:rsidR="00F04C62">
        <w:rPr>
          <w:rFonts w:ascii="Times New Roman" w:hAnsi="Times New Roman" w:cs="Times New Roman"/>
          <w:sz w:val="20"/>
          <w:szCs w:val="20"/>
          <w:lang w:eastAsia="ja-JP"/>
        </w:rPr>
        <w:t xml:space="preserve"> , </w:t>
      </w:r>
      <w:hyperlink r:id="rId8" w:history="1">
        <w:r w:rsidR="00F04C62" w:rsidRPr="00920B97">
          <w:rPr>
            <w:rStyle w:val="Hyperlink"/>
            <w:rFonts w:ascii="Times New Roman" w:hAnsi="Times New Roman" w:cs="Times New Roman"/>
            <w:sz w:val="20"/>
            <w:szCs w:val="20"/>
            <w:lang w:eastAsia="ja-JP"/>
          </w:rPr>
          <w:t>paidi@usu.ac.id</w:t>
        </w:r>
      </w:hyperlink>
      <w:r w:rsidR="00F04C62">
        <w:rPr>
          <w:rFonts w:ascii="Times New Roman" w:hAnsi="Times New Roman" w:cs="Times New Roman"/>
          <w:sz w:val="20"/>
          <w:szCs w:val="20"/>
          <w:lang w:eastAsia="ja-JP"/>
        </w:rPr>
        <w:t xml:space="preserve"> , </w:t>
      </w:r>
      <w:hyperlink r:id="rId9" w:history="1">
        <w:r w:rsidR="00F04C62" w:rsidRPr="00920B97">
          <w:rPr>
            <w:rStyle w:val="Hyperlink"/>
            <w:rFonts w:ascii="Times New Roman" w:hAnsi="Times New Roman" w:cs="Times New Roman"/>
            <w:sz w:val="20"/>
            <w:szCs w:val="20"/>
            <w:lang w:eastAsia="ja-JP"/>
          </w:rPr>
          <w:t>m.syafii@usu.ac.id</w:t>
        </w:r>
      </w:hyperlink>
      <w:r w:rsidR="00F04C62">
        <w:rPr>
          <w:rFonts w:ascii="Times New Roman" w:hAnsi="Times New Roman" w:cs="Times New Roman"/>
          <w:sz w:val="20"/>
          <w:szCs w:val="20"/>
          <w:lang w:eastAsia="ja-JP"/>
        </w:rPr>
        <w:t xml:space="preserve"> </w:t>
      </w:r>
    </w:p>
    <w:p w14:paraId="1F5D7E0E" w14:textId="77777777" w:rsidR="00EA77C3" w:rsidRDefault="00EA77C3" w:rsidP="00F853B2">
      <w:pPr>
        <w:spacing w:after="0" w:line="240" w:lineRule="auto"/>
        <w:jc w:val="center"/>
        <w:rPr>
          <w:rFonts w:ascii="Times New Roman" w:hAnsi="Times New Roman" w:cs="Times New Roman"/>
          <w:sz w:val="20"/>
          <w:szCs w:val="20"/>
          <w:lang w:eastAsia="ja-JP"/>
        </w:rPr>
      </w:pPr>
    </w:p>
    <w:p w14:paraId="385899BC" w14:textId="77777777" w:rsidR="00132790" w:rsidRDefault="00132790" w:rsidP="00F853B2">
      <w:pPr>
        <w:spacing w:after="0" w:line="240" w:lineRule="auto"/>
        <w:jc w:val="center"/>
        <w:rPr>
          <w:rFonts w:ascii="Times New Roman" w:hAnsi="Times New Roman" w:cs="Times New Roman"/>
          <w:sz w:val="20"/>
          <w:szCs w:val="20"/>
          <w:lang w:eastAsia="ja-JP"/>
        </w:rPr>
      </w:pPr>
    </w:p>
    <w:p w14:paraId="40174C3E" w14:textId="77777777" w:rsidR="007F221B" w:rsidRPr="00132790" w:rsidRDefault="007F221B" w:rsidP="00F853B2">
      <w:pPr>
        <w:spacing w:after="0" w:line="240" w:lineRule="auto"/>
        <w:jc w:val="center"/>
        <w:rPr>
          <w:rFonts w:ascii="Times New Roman" w:hAnsi="Times New Roman" w:cs="Times New Roman"/>
          <w:sz w:val="20"/>
          <w:szCs w:val="20"/>
          <w:lang w:eastAsia="ja-JP"/>
        </w:rPr>
      </w:pPr>
    </w:p>
    <w:p w14:paraId="3A0E86AE" w14:textId="71D8A135" w:rsidR="00362A78" w:rsidRPr="00956C22" w:rsidRDefault="00F853B2" w:rsidP="00F853B2">
      <w:pPr>
        <w:spacing w:after="0" w:line="240" w:lineRule="auto"/>
        <w:jc w:val="center"/>
        <w:rPr>
          <w:rFonts w:ascii="Times New Roman" w:hAnsi="Times New Roman" w:cs="Times New Roman"/>
          <w:b/>
          <w:i/>
          <w:sz w:val="21"/>
          <w:szCs w:val="20"/>
        </w:rPr>
      </w:pPr>
      <w:r w:rsidRPr="00956C22">
        <w:rPr>
          <w:rFonts w:ascii="Times New Roman" w:hAnsi="Times New Roman" w:cs="Times New Roman"/>
          <w:b/>
          <w:i/>
          <w:sz w:val="21"/>
          <w:szCs w:val="20"/>
        </w:rPr>
        <w:t xml:space="preserve">ABSTRACT </w:t>
      </w:r>
    </w:p>
    <w:p w14:paraId="5A51A2B1" w14:textId="715C2C02" w:rsidR="00101891" w:rsidRPr="00956C22" w:rsidRDefault="007F221B" w:rsidP="00F853B2">
      <w:pPr>
        <w:shd w:val="clear" w:color="auto" w:fill="FFFFFF"/>
        <w:spacing w:after="0" w:line="240" w:lineRule="auto"/>
        <w:jc w:val="both"/>
        <w:rPr>
          <w:rFonts w:ascii="Times New Roman" w:hAnsi="Times New Roman" w:cs="Times New Roman"/>
          <w:i/>
          <w:sz w:val="21"/>
          <w:szCs w:val="20"/>
          <w:lang w:eastAsia="ja-JP"/>
        </w:rPr>
      </w:pPr>
      <w:r w:rsidRPr="00956C22">
        <w:rPr>
          <w:rFonts w:ascii="Times New Roman" w:hAnsi="Times New Roman" w:cs="Times New Roman"/>
          <w:i/>
          <w:sz w:val="21"/>
          <w:szCs w:val="20"/>
          <w:lang w:eastAsia="ja-JP"/>
        </w:rPr>
        <w:t>Foreign Direct Investment (FDI) is a crucial instrument for accelerating economic growth in Southeast Asia. This study aims to analyze the determinants influencing FDI inflows into 9 ASEAN member countries from 2000 to 2024. The independent variables examined include Exchange Rate, Gross Domestic Product (GDP), Regulatory Quality, Trade Openness, and Inflation. The data analysis utilizes panel data regression, with the Fixed Effect Model (FEM) identified as the best approach, complemented by country-specific spatial analysis. The regional testing results indicate that Gross Domestic Product (GDP) is the only macroeconomic variable that has a positive and significant effect on FDI, fully supporting the theory of market-seeking investment in the ASEAN region. Conversely, in the aggregate regional model, the exchange rate, inflation, regulatory quality, and trade openness show no significant effect. Nevertheless, the spatial analysis reveals diverse investor responses at the domestic level. Regulatory quality and trade openness have a positive and significant impact only on developing nations such as Cambodia and Laos. Meanwhile, in major manufacturing countries like Vietnam and Thailand, rapid economic growth and rising inflation are met with negative investor responses due to concerns over increasing local factor production costs. This study concludes that maintaining sustainable domestic economic growth and strengthening country-specific bureaucratic quality are key to sustaining investment competitiveness in the ASEAN region.</w:t>
      </w:r>
    </w:p>
    <w:p w14:paraId="0F4FC0A4" w14:textId="6C47DC84" w:rsidR="007F221B" w:rsidRPr="00956C22" w:rsidRDefault="00F853B2" w:rsidP="007F221B">
      <w:pPr>
        <w:pStyle w:val="TextBody"/>
        <w:ind w:firstLine="0"/>
        <w:rPr>
          <w:rFonts w:eastAsia="SimSun"/>
          <w:i/>
          <w:sz w:val="21"/>
          <w:lang w:eastAsia="zh-CN"/>
        </w:rPr>
      </w:pPr>
      <w:r w:rsidRPr="00956C22">
        <w:rPr>
          <w:rFonts w:eastAsia="SimSun"/>
          <w:b/>
          <w:i/>
          <w:sz w:val="21"/>
          <w:lang w:eastAsia="zh-CN"/>
        </w:rPr>
        <w:t xml:space="preserve">Keywords: </w:t>
      </w:r>
      <w:r w:rsidR="007F221B" w:rsidRPr="00956C22">
        <w:rPr>
          <w:rFonts w:eastAsia="SimSun"/>
          <w:i/>
          <w:sz w:val="21"/>
          <w:lang w:eastAsia="zh-CN"/>
        </w:rPr>
        <w:t>Foreign Direct Investment (FDI), GDP, Regulatory Quality, Trade Openness,  ASEAN.</w:t>
      </w:r>
    </w:p>
    <w:p w14:paraId="019324F5" w14:textId="77777777" w:rsidR="007F221B" w:rsidRPr="00956C22" w:rsidRDefault="007F221B" w:rsidP="007F221B">
      <w:pPr>
        <w:pStyle w:val="TextBody"/>
        <w:ind w:firstLine="0"/>
        <w:rPr>
          <w:rFonts w:eastAsia="SimSun"/>
          <w:sz w:val="21"/>
          <w:lang w:eastAsia="zh-CN"/>
        </w:rPr>
      </w:pPr>
    </w:p>
    <w:p w14:paraId="0E59CA4C" w14:textId="77777777" w:rsidR="007F221B" w:rsidRPr="00956C22" w:rsidRDefault="007F221B" w:rsidP="007F221B">
      <w:pPr>
        <w:pStyle w:val="TextBody"/>
        <w:ind w:firstLine="0"/>
        <w:rPr>
          <w:rFonts w:eastAsia="SimSun"/>
          <w:sz w:val="21"/>
          <w:lang w:eastAsia="zh-CN"/>
        </w:rPr>
      </w:pPr>
    </w:p>
    <w:p w14:paraId="1214BA52" w14:textId="102B0FA0" w:rsidR="00F853B2" w:rsidRPr="00956C22" w:rsidRDefault="007F221B" w:rsidP="00956C22">
      <w:pPr>
        <w:pStyle w:val="TextBody"/>
        <w:ind w:firstLine="0"/>
        <w:jc w:val="center"/>
        <w:rPr>
          <w:rFonts w:eastAsia="SimSun"/>
          <w:sz w:val="21"/>
          <w:lang w:eastAsia="zh-CN"/>
        </w:rPr>
      </w:pPr>
      <w:r w:rsidRPr="00956C22">
        <w:rPr>
          <w:b/>
          <w:sz w:val="21"/>
        </w:rPr>
        <w:t>ABSTRAK</w:t>
      </w:r>
    </w:p>
    <w:p w14:paraId="403CA931" w14:textId="77777777" w:rsidR="007F221B" w:rsidRPr="00956C22" w:rsidRDefault="007F221B" w:rsidP="007F221B">
      <w:pPr>
        <w:shd w:val="clear" w:color="auto" w:fill="FFFFFF"/>
        <w:spacing w:after="0" w:line="240" w:lineRule="auto"/>
        <w:jc w:val="both"/>
        <w:rPr>
          <w:rFonts w:ascii="Times New Roman" w:hAnsi="Times New Roman" w:cs="Times New Roman"/>
          <w:sz w:val="21"/>
          <w:szCs w:val="20"/>
          <w:lang w:eastAsia="ja-JP"/>
        </w:rPr>
      </w:pPr>
      <w:r w:rsidRPr="00956C22">
        <w:rPr>
          <w:rFonts w:ascii="Times New Roman" w:hAnsi="Times New Roman" w:cs="Times New Roman"/>
          <w:sz w:val="21"/>
          <w:szCs w:val="20"/>
          <w:lang w:eastAsia="ja-JP"/>
        </w:rPr>
        <w:t>Investasi Asing Langsung atau Foreign Direct Investment (FDI) merupakan instrumen penting bagi percepatan pertumbuhan ekonomi di kawasan Asia Tenggara. Penelitian ini bertujuan untuk menganalisis faktor-faktor yang memengaruhi aliran masuk FDI di 9 negara anggota ASEAN dalam periode tahun 2000–2024. Variabel independen yang diuji meliputi Nilai Tukar (exchange rate), Gross Domestic Product (GDP), Kualitas Regulasi (regulatory quality), Keterbukaan Perdagangan (trade openness), dan Inflasi. Metode analisis data menggunakan regresi data panel dengan pendekatan terbaik yaitu Fixed Effect Model (FEM) serta analisis spasial per negara. Hasil pengujian regional menunjukkan bahwa Gross Domestic Product (GDP) merupakan satu-satunya variabel makroekonomi yang berpengaruh positif dan signifikan terhadap FDI, yang mendukung penuh teori market-seeking investment di kawasan ASEAN. Sebaliknya, pada model gabungan regional, variabel nilai tukar, inflasi, kualitas regulasi, dan keterbukaan perdagangan terbukti tidak berpengaruh signifikan. Meskipun demikian, hasil analisis spasial menunjukkan adanya respons investor yang beragam di tingkat domestik. Variabel kualitas regulasi dan keterbukaan perdagangan terbukti berpengaruh positif dan signifikan hanya pada kelompok negara berkembang seperti Kamboja dan Laos, sementara pada negara manufaktur utama seperti Vietnam dan Thailand, pertumbuhan ekonomi yang terlalu cepat dan peningkatan inflasi justru direspons secara negatif oleh investor akibat adanya kekhawatiran terhadap kenaikan biaya faktor produksi lokal. Penelitian ini menyimpulkan bahwa menjaga keberlanjutan pertumbuhan ekonomi domestik serta melakukan penguatan kualitas birokrasi yang spesifik di tiap negara merupakan kunci utama dalam mempertahankan daya saing investasi di kawasan ASEAN.</w:t>
      </w:r>
    </w:p>
    <w:p w14:paraId="723388A0" w14:textId="6FB4072B" w:rsidR="007F221B" w:rsidRPr="00956C22" w:rsidRDefault="007F221B" w:rsidP="007F221B">
      <w:pPr>
        <w:pStyle w:val="TextBody"/>
        <w:ind w:firstLine="0"/>
        <w:rPr>
          <w:rFonts w:eastAsia="SimSun"/>
          <w:sz w:val="21"/>
          <w:lang w:eastAsia="zh-CN"/>
        </w:rPr>
      </w:pPr>
      <w:r w:rsidRPr="00956C22">
        <w:rPr>
          <w:rFonts w:eastAsia="SimSun"/>
          <w:b/>
          <w:sz w:val="21"/>
          <w:lang w:eastAsia="zh-CN"/>
        </w:rPr>
        <w:t>Kata Kunci :</w:t>
      </w:r>
      <w:r w:rsidRPr="00956C22">
        <w:rPr>
          <w:rFonts w:eastAsia="SimSun"/>
          <w:sz w:val="21"/>
          <w:lang w:eastAsia="zh-CN"/>
        </w:rPr>
        <w:t xml:space="preserve"> Foreign Direct Investment (FDI), GDP, Kualitas Regulasi, Keterbukaan  Perdagangan, ASEAN.</w:t>
      </w:r>
    </w:p>
    <w:p w14:paraId="0664183C" w14:textId="77777777" w:rsidR="007F221B" w:rsidRDefault="007F221B" w:rsidP="00F853B2">
      <w:pPr>
        <w:pStyle w:val="TextBody"/>
        <w:ind w:firstLine="0"/>
        <w:rPr>
          <w:rFonts w:eastAsia="SimSun"/>
          <w:b/>
          <w:lang w:eastAsia="zh-CN"/>
        </w:rPr>
      </w:pPr>
    </w:p>
    <w:p w14:paraId="2A088217" w14:textId="77777777" w:rsidR="0099535A" w:rsidRDefault="0099535A" w:rsidP="00F853B2">
      <w:pPr>
        <w:pStyle w:val="TextBody"/>
        <w:ind w:firstLine="0"/>
        <w:rPr>
          <w:rFonts w:eastAsia="SimSun"/>
          <w:b/>
          <w:lang w:eastAsia="zh-CN"/>
        </w:rPr>
      </w:pPr>
    </w:p>
    <w:p w14:paraId="69CDBBB0" w14:textId="77777777" w:rsidR="0099535A" w:rsidRDefault="0099535A" w:rsidP="00F853B2">
      <w:pPr>
        <w:pStyle w:val="TextBody"/>
        <w:ind w:firstLine="0"/>
        <w:rPr>
          <w:rFonts w:eastAsia="SimSun"/>
          <w:b/>
          <w:lang w:eastAsia="zh-CN"/>
        </w:rPr>
      </w:pPr>
    </w:p>
    <w:p w14:paraId="13065F8A" w14:textId="77777777" w:rsidR="0099535A" w:rsidRDefault="0099535A" w:rsidP="00F853B2">
      <w:pPr>
        <w:pStyle w:val="TextBody"/>
        <w:ind w:firstLine="0"/>
        <w:rPr>
          <w:rFonts w:eastAsia="SimSun"/>
          <w:b/>
          <w:lang w:eastAsia="zh-CN"/>
        </w:rPr>
        <w:sectPr w:rsidR="0099535A" w:rsidSect="00956C22">
          <w:headerReference w:type="default" r:id="rId10"/>
          <w:footerReference w:type="default" r:id="rId11"/>
          <w:headerReference w:type="first" r:id="rId12"/>
          <w:pgSz w:w="11906" w:h="16838"/>
          <w:pgMar w:top="1440" w:right="1440" w:bottom="1440" w:left="1440" w:header="708" w:footer="708" w:gutter="0"/>
          <w:pgNumType w:start="1366"/>
          <w:cols w:space="708"/>
          <w:titlePg/>
          <w:docGrid w:linePitch="360"/>
        </w:sectPr>
      </w:pPr>
    </w:p>
    <w:p w14:paraId="768BEEF2" w14:textId="2157A4B1" w:rsidR="00F853B2" w:rsidRPr="00F853B2" w:rsidRDefault="00F853B2" w:rsidP="00F853B2">
      <w:pPr>
        <w:shd w:val="clear" w:color="auto" w:fill="FFFFFF"/>
        <w:spacing w:after="0" w:line="240" w:lineRule="auto"/>
        <w:jc w:val="both"/>
        <w:rPr>
          <w:rFonts w:ascii="Times New Roman" w:eastAsiaTheme="minorHAnsi" w:hAnsi="Times New Roman" w:cs="Times New Roman"/>
          <w:b/>
          <w:sz w:val="20"/>
          <w:szCs w:val="20"/>
          <w:lang w:eastAsia="ja-JP"/>
        </w:rPr>
      </w:pPr>
      <w:r w:rsidRPr="00F853B2">
        <w:rPr>
          <w:rFonts w:ascii="Times New Roman" w:hAnsi="Times New Roman" w:cs="Times New Roman"/>
          <w:b/>
          <w:sz w:val="20"/>
          <w:szCs w:val="20"/>
          <w:lang w:eastAsia="ja-JP"/>
        </w:rPr>
        <w:lastRenderedPageBreak/>
        <w:t>PENDAHULUAN</w:t>
      </w:r>
    </w:p>
    <w:p w14:paraId="0B4123A0" w14:textId="24E31421"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Perkembangan arus FDI di kawasan ASEAN menunjukkan tren yang dinamis. Setelah mengalami peningkatan signifikan sejak akhir 1980-an, FDI di ASEAN sempat mengalami penurunan pada krisis ekonomi 1997–1998, kemudian kembali meningkat secara bertahap hingga periode 2015–2019. Namun, pada tahun 2020 arus FDI mengalami penurunan tajam akibat pandemi COVID-19 yang menyebabkan gangguan rantai pasok global dan penurunan aktivitas investasi internasional. Meskipun demikian, ASEAN menunjukkan resiliensi yang kuat dengan pemulihan cepat pada periode 2021–2024, bahkan melampaui level sebelum pandemi. Namun demikian, distribusi FDI di kawasan ini masih menunjukkan ketimpangan yang signifikan, di mana Singapura mendominasi sebagian besar aliran investasi, sementara negara-negara seperti Laos, Kamboja, dan Myanmar masih menerima porsi yang relatif kecil.</w:t>
      </w:r>
    </w:p>
    <w:p w14:paraId="711AD0E5" w14:textId="368801E4"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Berbagai penelitian sebelumnya menunjukkan bahwa masuknya FDI ke suatu negara dipengaruhi oleh berbagai faktor makroekonomi dan institusional. Pertumbuhan ekonomi menjadi salah satu faktor utama yang mencerminkan daya tarik pasar suatu negara. Selain itu, stabilitas nilai tukar juga berperan penting dalam memberikan kepastian bagi investor terhadap risiko keuangan. Kualitas regulasi pemerintah, tingkat keterbukaan perdagangan, serta stabilitas inflasi juga menjadi determinan penting dalam menciptakan iklim investasi yang kondusif. Namun, berbagai studi juga menunjukkan bahwa pengaruh faktor-faktor tersebut tidak selalu konsisten di setiap negara, karena perbedaan kondisi struktural, kualitas institusi, serta tingkat pembangunan ekonomi.</w:t>
      </w:r>
    </w:p>
    <w:p w14:paraId="470D1E2F" w14:textId="1ABD61BF"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Berdasarkan kondisi tersebut, terlihat adanya kesenjangan (gap) antar negara ASEAN dalam menarik arus FDI meskipun berada dalam satu kawasan ekonomi yang sama. Perbedaan ini mengindikasikan bahwa faktor penentu FDI bekerja secara kompleks dan saling berkaitan, sehingga perlu dianalisis lebih lanjut untuk memahami determinan utama yang memengaruhi masuknya investasi asing di kawasan ASEAN.</w:t>
      </w:r>
    </w:p>
    <w:p w14:paraId="715AB47E" w14:textId="5D4BD7E0" w:rsidR="00F853B2" w:rsidRDefault="007F221B" w:rsidP="007F221B">
      <w:pPr>
        <w:shd w:val="clear" w:color="auto" w:fill="FFFFFF"/>
        <w:spacing w:after="0" w:line="240" w:lineRule="auto"/>
        <w:ind w:firstLine="720"/>
        <w:jc w:val="both"/>
        <w:rPr>
          <w:rFonts w:ascii="Times New Roman" w:hAnsi="Times New Roman" w:cs="Times New Roman"/>
          <w:sz w:val="20"/>
          <w:szCs w:val="20"/>
          <w:lang w:eastAsia="ja-JP"/>
        </w:rPr>
      </w:pPr>
      <w:r w:rsidRPr="007F221B">
        <w:rPr>
          <w:rFonts w:ascii="Times New Roman" w:eastAsiaTheme="minorHAnsi" w:hAnsi="Times New Roman" w:cs="Times New Roman"/>
          <w:sz w:val="20"/>
          <w:szCs w:val="20"/>
          <w:lang w:val="id-ID" w:eastAsia="ja-JP"/>
        </w:rPr>
        <w:t>Oleh karena itu, penelitian ini bertujuan untuk menganalisis faktor-faktor yang memengaruhi Foreign Direct Investment (FDI) di negara-negara kawasan ASEAN, dengan fokus pada variabel pertumbuhan ekonomi, nilai tukar, kualitas regulasi, keterbukaan perdagangan, dan inflasi. Penelitian ini diharapkan dapat memberikan kontribusi empiris dalam menjelaskan variasi FDI antarnegara ASEAN serta menjadi dasar bagi perumusan kebijakan dalam meningkatkan daya tarik investasi di kawasan tersebut.</w:t>
      </w:r>
    </w:p>
    <w:p w14:paraId="3FCB4C45" w14:textId="77777777" w:rsidR="00F853B2" w:rsidRPr="00F853B2" w:rsidRDefault="00F853B2" w:rsidP="00F853B2">
      <w:pPr>
        <w:shd w:val="clear" w:color="auto" w:fill="FFFFFF"/>
        <w:spacing w:after="0" w:line="240" w:lineRule="auto"/>
        <w:jc w:val="both"/>
        <w:rPr>
          <w:rFonts w:ascii="Times New Roman" w:eastAsiaTheme="minorHAnsi" w:hAnsi="Times New Roman" w:cs="Times New Roman"/>
          <w:sz w:val="20"/>
          <w:szCs w:val="20"/>
          <w:lang w:eastAsia="ja-JP"/>
        </w:rPr>
      </w:pPr>
    </w:p>
    <w:p w14:paraId="183CCC25" w14:textId="77777777" w:rsidR="00956C22" w:rsidRDefault="00956C22" w:rsidP="00F853B2">
      <w:pPr>
        <w:shd w:val="clear" w:color="auto" w:fill="FFFFFF"/>
        <w:spacing w:after="0" w:line="240" w:lineRule="auto"/>
        <w:jc w:val="both"/>
        <w:rPr>
          <w:rFonts w:ascii="Times New Roman" w:hAnsi="Times New Roman" w:cs="Times New Roman"/>
          <w:b/>
          <w:sz w:val="20"/>
          <w:szCs w:val="20"/>
          <w:lang w:eastAsia="ja-JP"/>
        </w:rPr>
      </w:pPr>
    </w:p>
    <w:p w14:paraId="435CE68E" w14:textId="77777777" w:rsidR="00956C22" w:rsidRDefault="00956C22" w:rsidP="00F853B2">
      <w:pPr>
        <w:shd w:val="clear" w:color="auto" w:fill="FFFFFF"/>
        <w:spacing w:after="0" w:line="240" w:lineRule="auto"/>
        <w:jc w:val="both"/>
        <w:rPr>
          <w:rFonts w:ascii="Times New Roman" w:hAnsi="Times New Roman" w:cs="Times New Roman"/>
          <w:b/>
          <w:sz w:val="20"/>
          <w:szCs w:val="20"/>
          <w:lang w:eastAsia="ja-JP"/>
        </w:rPr>
      </w:pPr>
    </w:p>
    <w:p w14:paraId="7539CEB3" w14:textId="6F70543F" w:rsidR="00F853B2" w:rsidRPr="00F853B2" w:rsidRDefault="00F853B2"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sidRPr="00F853B2">
        <w:rPr>
          <w:rFonts w:ascii="Times New Roman" w:hAnsi="Times New Roman" w:cs="Times New Roman"/>
          <w:b/>
          <w:sz w:val="20"/>
          <w:szCs w:val="20"/>
          <w:lang w:eastAsia="ja-JP"/>
        </w:rPr>
        <w:t>RESEARCH METHODS (METODE PENELITIAN)</w:t>
      </w:r>
    </w:p>
    <w:p w14:paraId="4A75ECDB" w14:textId="408CD1E8"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Penelitian ini menggunakan pendekatan kuantitatif dengan tujuan untuk menganalisis pengaruh variabel makroekonomi dan institusional terhadap Foreign Direct Investment (FDI) di negara-negara kawasan ASEAN. Pendekatan ini dipilih karena memungkinkan pengujian hubungan antar variabel secara empiris menggunakan data numerik dan metode statistik yang sistematis. Objek penelitian mencakup sembilan negara ASEAN, yaitu Indonesia, Vietnam, Thailand, Malaysia, Singapura, Filipina, Kamboja, Laos, dan Brunei Darussalam dengan periode pengamatan tahun 2016 hingga 2024.</w:t>
      </w:r>
    </w:p>
    <w:p w14:paraId="5B94297A" w14:textId="755D8EA4"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Data yang digunakan dalam penelitian ini merupakan data sekunder yang diperoleh dari lembaga resmi internasional seperti World Bank dan UNCTAD. Variabel dependen dalam penelitian ini adalah Foreign Direct Investment (FDI), sedangkan variabel independen terdiri dari pertumbuhan ekonomi, nilai tukar, kualitas regulasi, keterbukaan perdagangan, dan tingkat inflasi. Variabel-variabel tersebut dipilih berdasarkan teori ekonomi internasional dan temuan penelitian sebelumnya yang menyatakan bahwa faktor makroekonomi dan kualitas institusi memiliki pengaruh signifikan terhadap arus masuk investasi asing.</w:t>
      </w:r>
    </w:p>
    <w:p w14:paraId="759FDAB6" w14:textId="21360FDC"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Analisis data dalam penelitian ini menggunakan model regresi data panel yang menggabungkan data cross section dari beberapa negara dan data time series dalam periode tertentu. Model ini digunakan untuk melihat pengaruh simultan maupun parsial dari variabel independen terhadap FDI di kawasan ASEAN. Secara matematis, model penelitian ini menggambarkan hubungan antara FDI sebagai variabel dependen dengan variabel-variabel independen yang telah ditentukan melalui persamaan regresi data panel.</w:t>
      </w:r>
    </w:p>
    <w:p w14:paraId="73850225" w14:textId="320B1C27" w:rsidR="007F221B" w:rsidRPr="007F221B" w:rsidRDefault="007F221B" w:rsidP="007F221B">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Proses analisis dilakukan melalui beberapa tahapan. Tahap pertama adalah pengumpulan data sekunder dari sumber resmi, kemudian dilanjutkan dengan penyusunan data panel berdasarkan negara dan tahun pengamatan. Selanjutnya dilakukan analisis statistik deskriptif untuk melihat karakteristik data, diikuti dengan estimasi model regresi data panel yang mencakup Common Effect Model, Fixed Effect Model, dan Random Effect Model. Pemilihan model terbaik dilakukan melalui pengujian statistik seperti Chow Test, Hausman Test, dan Lagrange Multiplier Test.</w:t>
      </w:r>
    </w:p>
    <w:p w14:paraId="14168C02" w14:textId="3A55E7ED" w:rsidR="007F221B" w:rsidRPr="007F221B" w:rsidRDefault="007F221B" w:rsidP="0099535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7F221B">
        <w:rPr>
          <w:rFonts w:ascii="Times New Roman" w:eastAsiaTheme="minorHAnsi" w:hAnsi="Times New Roman" w:cs="Times New Roman"/>
          <w:sz w:val="20"/>
          <w:szCs w:val="20"/>
          <w:lang w:val="id-ID" w:eastAsia="ja-JP"/>
        </w:rPr>
        <w:t xml:space="preserve">Setelah model terbaik ditentukan, penelitian dilanjutkan dengan uji asumsi klasik untuk memastikan model memenuhi kriteria BLUE (Best Linear Unbiased Estimator), yang meliputi uji normalitas, multikolinearitas, heteroskedastisitas, dan autokorelasi. Tahap terakhir adalah pengujian hipotesis menggunakan uji parsial (uji t) untuk mengetahui pengaruh masing-masing variabel independen terhadap FDI, serta uji simultan (uji F) </w:t>
      </w:r>
      <w:r w:rsidRPr="007F221B">
        <w:rPr>
          <w:rFonts w:ascii="Times New Roman" w:eastAsiaTheme="minorHAnsi" w:hAnsi="Times New Roman" w:cs="Times New Roman"/>
          <w:sz w:val="20"/>
          <w:szCs w:val="20"/>
          <w:lang w:val="id-ID" w:eastAsia="ja-JP"/>
        </w:rPr>
        <w:lastRenderedPageBreak/>
        <w:t>untuk mengetahui pengaruh seluruh variabel secara bersama-sama, yang kemudian diikuti dengan interpretasi hasil dan penarikan kesimpulan.</w:t>
      </w:r>
    </w:p>
    <w:p w14:paraId="45BBAED9" w14:textId="4005D370" w:rsidR="00F853B2" w:rsidRDefault="007F221B" w:rsidP="007F221B">
      <w:pPr>
        <w:shd w:val="clear" w:color="auto" w:fill="FFFFFF"/>
        <w:spacing w:after="0" w:line="240" w:lineRule="auto"/>
        <w:ind w:firstLine="720"/>
        <w:jc w:val="both"/>
        <w:rPr>
          <w:rFonts w:ascii="Times New Roman" w:hAnsi="Times New Roman" w:cs="Times New Roman"/>
          <w:sz w:val="20"/>
          <w:szCs w:val="20"/>
          <w:lang w:eastAsia="ja-JP"/>
        </w:rPr>
      </w:pPr>
      <w:r w:rsidRPr="007F221B">
        <w:rPr>
          <w:rFonts w:ascii="Times New Roman" w:eastAsiaTheme="minorHAnsi" w:hAnsi="Times New Roman" w:cs="Times New Roman"/>
          <w:sz w:val="20"/>
          <w:szCs w:val="20"/>
          <w:lang w:val="id-ID" w:eastAsia="ja-JP"/>
        </w:rPr>
        <w:t>Secara keseluruhan, alur penelitian ini dimulai dari identifikasi masalah terkait ketimpangan FDI di ASEAN, pengumpulan data, penentuan variabel, penyusunan model regresi data panel, estimasi dan pemilihan model terbaik, pengujian statistik, hingga analisis hasil dan penyusunan kesimpulan. Alur tersebut menunjukkan bahwa penelitian ini tidak hanya bersifat deskriptif, tetapi juga analitis-empiris dengan pendekatan ekonometrika untuk menjelaskan faktor-faktor yang memengaruhi FDI di kawasan ASEAN.</w:t>
      </w:r>
    </w:p>
    <w:p w14:paraId="4C2FA468" w14:textId="77777777" w:rsidR="00F853B2" w:rsidRPr="00F853B2" w:rsidRDefault="00F853B2" w:rsidP="00F853B2">
      <w:pPr>
        <w:shd w:val="clear" w:color="auto" w:fill="FFFFFF"/>
        <w:spacing w:after="0" w:line="240" w:lineRule="auto"/>
        <w:ind w:firstLine="720"/>
        <w:jc w:val="both"/>
        <w:rPr>
          <w:rFonts w:ascii="Times New Roman" w:eastAsiaTheme="minorHAnsi" w:hAnsi="Times New Roman" w:cs="Times New Roman"/>
          <w:sz w:val="20"/>
          <w:szCs w:val="20"/>
          <w:lang w:eastAsia="ja-JP"/>
        </w:rPr>
      </w:pPr>
    </w:p>
    <w:p w14:paraId="5AC300FF" w14:textId="3C9664F6" w:rsidR="00F853B2" w:rsidRPr="00F853B2" w:rsidRDefault="00F853B2"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sidRPr="00F853B2">
        <w:rPr>
          <w:rFonts w:ascii="Times New Roman" w:hAnsi="Times New Roman" w:cs="Times New Roman"/>
          <w:b/>
          <w:sz w:val="20"/>
          <w:szCs w:val="20"/>
          <w:lang w:eastAsia="ja-JP"/>
        </w:rPr>
        <w:t>HASIL DAN PEMBAHASAN</w:t>
      </w:r>
    </w:p>
    <w:p w14:paraId="434C3E92" w14:textId="54F1014B" w:rsidR="00543D14" w:rsidRPr="00543D14" w:rsidRDefault="00543D14" w:rsidP="00543D14">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Untuk membedah alasan di balik ketidaksignifikanan tersebut secara lebih tajam dan melihat bagaimana dinamika keterikatan kurs di masing-masing wilayah, Berdasarkan hasil estimasi model regresi data panel menggunakan pendekatan Fixed Effect Model (FEM) yang mengkaji pengaruh variabel Nilai Tukar (EXR), Pertumbuhan Ekonomi ( GDP), Inflasi (INF), Kualitas Regulasi (RQ), dan Keterbukaan Perdagangan (TRD) terhadap aliran Foreign Direct Investment (FDI) di 9 negara anggota ASEAN selama periode 2000–2024, ditemukan dinamika pengaruh yang beragam baik secara simultan maupun parsial.</w:t>
      </w:r>
    </w:p>
    <w:p w14:paraId="4D9F4D8A" w14:textId="5F09479F" w:rsidR="00F853B2" w:rsidRDefault="00543D14" w:rsidP="00543D14">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Pembahasan berikut akan mengintegrasikan temuan empiris hasil pengolahan data dengan teori ekonomi internasional, serta melakukan komparasi dengan hasil penelitian terdahulu guna memberikan gambaran komprehensif mengenai faktor-faktor yang menentukan daya tarik investasi asing di kawasan Asia Tenggara.</w:t>
      </w:r>
    </w:p>
    <w:p w14:paraId="2E78A8EE" w14:textId="70AC0F40" w:rsidR="00543D14" w:rsidRPr="0099535A" w:rsidRDefault="00543D14" w:rsidP="0099535A">
      <w:pPr>
        <w:shd w:val="clear" w:color="auto" w:fill="FFFFFF"/>
        <w:spacing w:after="0" w:line="240" w:lineRule="auto"/>
        <w:jc w:val="both"/>
        <w:rPr>
          <w:rFonts w:ascii="Times New Roman" w:hAnsi="Times New Roman" w:cs="Times New Roman"/>
          <w:b/>
          <w:bCs/>
          <w:sz w:val="20"/>
          <w:szCs w:val="20"/>
          <w:lang w:eastAsia="ja-JP"/>
        </w:rPr>
      </w:pPr>
      <w:r w:rsidRPr="0099535A">
        <w:rPr>
          <w:rFonts w:ascii="Times New Roman" w:hAnsi="Times New Roman" w:cs="Times New Roman"/>
          <w:b/>
          <w:bCs/>
          <w:sz w:val="20"/>
          <w:szCs w:val="20"/>
          <w:lang w:eastAsia="ja-JP"/>
        </w:rPr>
        <w:t>Pengaruh Nilai Tukar (Exchange Rate) Terhadap FDI</w:t>
      </w:r>
      <w:r w:rsidRPr="0099535A">
        <w:rPr>
          <w:rFonts w:ascii="Times New Roman" w:hAnsi="Times New Roman" w:cs="Times New Roman"/>
          <w:b/>
          <w:bCs/>
          <w:sz w:val="20"/>
          <w:szCs w:val="20"/>
          <w:lang w:eastAsia="ja-JP"/>
        </w:rPr>
        <w:tab/>
      </w:r>
    </w:p>
    <w:p w14:paraId="65F58F12" w14:textId="77777777" w:rsidR="00543D14" w:rsidRPr="00543D14" w:rsidRDefault="00543D14" w:rsidP="00543D14">
      <w:pPr>
        <w:shd w:val="clear" w:color="auto" w:fill="FFFFFF"/>
        <w:spacing w:after="0" w:line="240" w:lineRule="auto"/>
        <w:ind w:firstLine="720"/>
        <w:jc w:val="both"/>
        <w:rPr>
          <w:rFonts w:ascii="Times New Roman" w:hAnsi="Times New Roman" w:cs="Times New Roman"/>
          <w:sz w:val="20"/>
          <w:szCs w:val="20"/>
          <w:lang w:eastAsia="ja-JP"/>
        </w:rPr>
      </w:pPr>
      <w:r w:rsidRPr="00543D14">
        <w:rPr>
          <w:rFonts w:ascii="Times New Roman" w:hAnsi="Times New Roman" w:cs="Times New Roman"/>
          <w:sz w:val="20"/>
          <w:szCs w:val="20"/>
          <w:lang w:eastAsia="ja-JP"/>
        </w:rPr>
        <w:t>Berdasarkan hasil pengujian parsial (Uji t) pada model gabungan regional Fixed Effect Model (FEM) yang tertera pada Tabel 4.3 sebelumnya, variabel Nilai Tukar (EXR) memiliki nilai koefisien negatif sebesar -0,120883 dengan tingkat probabilitas sebesar 0,1182. Karena nilai probabilitas tersebut lebih besar dari taraf signifikansi α=5% (0,1182&gt;0,05), secara agregat regional dapat disimpulkan bahwa Nilai Tukar tidak memiliki pengaruh yang signifikan terhadap aliran masuk Foreign Direct Investment (FDI) di kawasan ASEAN.</w:t>
      </w:r>
    </w:p>
    <w:p w14:paraId="64697389" w14:textId="0E496973" w:rsidR="00543D14" w:rsidRDefault="00543D14" w:rsidP="00956C22">
      <w:pPr>
        <w:shd w:val="clear" w:color="auto" w:fill="FFFFFF"/>
        <w:spacing w:after="0" w:line="240" w:lineRule="auto"/>
        <w:ind w:firstLine="720"/>
        <w:jc w:val="both"/>
        <w:rPr>
          <w:rFonts w:ascii="Times New Roman" w:hAnsi="Times New Roman" w:cs="Times New Roman"/>
          <w:sz w:val="20"/>
          <w:szCs w:val="20"/>
          <w:lang w:eastAsia="ja-JP"/>
        </w:rPr>
      </w:pPr>
      <w:r w:rsidRPr="00543D14">
        <w:rPr>
          <w:rFonts w:ascii="Times New Roman" w:hAnsi="Times New Roman" w:cs="Times New Roman"/>
          <w:sz w:val="20"/>
          <w:szCs w:val="20"/>
          <w:lang w:eastAsia="ja-JP"/>
        </w:rPr>
        <w:t>dilakukan analisis spasial per negara yang dirangkum dalam Tabel 4.6 berikut:</w:t>
      </w:r>
    </w:p>
    <w:p w14:paraId="315F0E56" w14:textId="26B5BD81" w:rsidR="00956C22" w:rsidRDefault="00956C22" w:rsidP="00956C22">
      <w:pPr>
        <w:shd w:val="clear" w:color="auto" w:fill="FFFFFF"/>
        <w:spacing w:after="0" w:line="240" w:lineRule="auto"/>
        <w:ind w:firstLine="720"/>
        <w:jc w:val="both"/>
        <w:rPr>
          <w:rFonts w:ascii="Times New Roman" w:hAnsi="Times New Roman" w:cs="Times New Roman"/>
          <w:sz w:val="20"/>
          <w:szCs w:val="20"/>
          <w:lang w:eastAsia="ja-JP"/>
        </w:rPr>
      </w:pPr>
    </w:p>
    <w:p w14:paraId="2533C38C" w14:textId="4DE1A8DA" w:rsidR="00956C22" w:rsidRDefault="00956C22" w:rsidP="00956C22">
      <w:pPr>
        <w:shd w:val="clear" w:color="auto" w:fill="FFFFFF"/>
        <w:spacing w:after="0" w:line="240" w:lineRule="auto"/>
        <w:ind w:firstLine="720"/>
        <w:jc w:val="both"/>
        <w:rPr>
          <w:rFonts w:ascii="Times New Roman" w:hAnsi="Times New Roman" w:cs="Times New Roman"/>
          <w:sz w:val="20"/>
          <w:szCs w:val="20"/>
          <w:lang w:eastAsia="ja-JP"/>
        </w:rPr>
      </w:pPr>
    </w:p>
    <w:p w14:paraId="6517889D" w14:textId="52E0CB92" w:rsidR="00956C22" w:rsidRDefault="00956C22" w:rsidP="00956C22">
      <w:pPr>
        <w:shd w:val="clear" w:color="auto" w:fill="FFFFFF"/>
        <w:spacing w:after="0" w:line="240" w:lineRule="auto"/>
        <w:ind w:firstLine="720"/>
        <w:jc w:val="both"/>
        <w:rPr>
          <w:rFonts w:ascii="Times New Roman" w:hAnsi="Times New Roman" w:cs="Times New Roman"/>
          <w:sz w:val="20"/>
          <w:szCs w:val="20"/>
          <w:lang w:eastAsia="ja-JP"/>
        </w:rPr>
      </w:pPr>
    </w:p>
    <w:p w14:paraId="14EE8665" w14:textId="1DA688D1" w:rsidR="00956C22" w:rsidRDefault="00956C22" w:rsidP="00956C22">
      <w:pPr>
        <w:shd w:val="clear" w:color="auto" w:fill="FFFFFF"/>
        <w:spacing w:after="0" w:line="240" w:lineRule="auto"/>
        <w:ind w:firstLine="720"/>
        <w:jc w:val="both"/>
        <w:rPr>
          <w:rFonts w:ascii="Times New Roman" w:hAnsi="Times New Roman" w:cs="Times New Roman"/>
          <w:sz w:val="20"/>
          <w:szCs w:val="20"/>
          <w:lang w:eastAsia="ja-JP"/>
        </w:rPr>
      </w:pPr>
    </w:p>
    <w:p w14:paraId="18DB6F47" w14:textId="77777777" w:rsidR="00956C22" w:rsidRDefault="00956C22" w:rsidP="00956C22">
      <w:pPr>
        <w:shd w:val="clear" w:color="auto" w:fill="FFFFFF"/>
        <w:spacing w:after="0" w:line="240" w:lineRule="auto"/>
        <w:ind w:firstLine="720"/>
        <w:jc w:val="both"/>
        <w:rPr>
          <w:rFonts w:ascii="Times New Roman" w:hAnsi="Times New Roman" w:cs="Times New Roman"/>
          <w:sz w:val="20"/>
          <w:szCs w:val="20"/>
          <w:lang w:eastAsia="ja-JP"/>
        </w:rPr>
      </w:pPr>
    </w:p>
    <w:p w14:paraId="36FC9E72" w14:textId="0D634107" w:rsidR="00543D14" w:rsidRPr="0099535A" w:rsidRDefault="00543D14" w:rsidP="0099535A">
      <w:pPr>
        <w:shd w:val="clear" w:color="auto" w:fill="FFFFFF"/>
        <w:spacing w:after="0" w:line="240" w:lineRule="auto"/>
        <w:jc w:val="center"/>
        <w:rPr>
          <w:rFonts w:ascii="Times New Roman" w:hAnsi="Times New Roman" w:cs="Times New Roman"/>
          <w:b/>
          <w:bCs/>
          <w:sz w:val="20"/>
          <w:szCs w:val="20"/>
          <w:lang w:eastAsia="ja-JP"/>
        </w:rPr>
      </w:pPr>
      <w:r w:rsidRPr="0099535A">
        <w:rPr>
          <w:rFonts w:ascii="Times New Roman" w:hAnsi="Times New Roman" w:cs="Times New Roman"/>
          <w:b/>
          <w:bCs/>
          <w:sz w:val="20"/>
          <w:szCs w:val="20"/>
          <w:lang w:eastAsia="ja-JP"/>
        </w:rPr>
        <w:t>Tabel 4.6 Pengaruh Nilai Tukar (EXR) Per Negara</w:t>
      </w:r>
    </w:p>
    <w:p w14:paraId="5617061E" w14:textId="6D79F5FA" w:rsidR="00543D14" w:rsidRDefault="00543D14" w:rsidP="00543D14">
      <w:pPr>
        <w:shd w:val="clear" w:color="auto" w:fill="FFFFFF"/>
        <w:spacing w:after="0" w:line="240" w:lineRule="auto"/>
        <w:ind w:firstLine="720"/>
        <w:jc w:val="both"/>
        <w:rPr>
          <w:rFonts w:ascii="Times New Roman" w:hAnsi="Times New Roman" w:cs="Times New Roman"/>
          <w:sz w:val="20"/>
          <w:szCs w:val="20"/>
          <w:lang w:eastAsia="ja-JP"/>
        </w:rPr>
      </w:pPr>
      <w:r>
        <w:rPr>
          <w:rFonts w:ascii="Times New Roman" w:hAnsi="Times New Roman" w:cs="Times New Roman"/>
          <w:noProof/>
          <w:sz w:val="20"/>
          <w:szCs w:val="20"/>
          <w:lang w:eastAsia="ja-JP"/>
        </w:rPr>
        <w:drawing>
          <wp:anchor distT="0" distB="0" distL="114300" distR="114300" simplePos="0" relativeHeight="251656704" behindDoc="0" locked="0" layoutInCell="1" allowOverlap="1" wp14:anchorId="2A32C520" wp14:editId="7762C4A1">
            <wp:simplePos x="0" y="0"/>
            <wp:positionH relativeFrom="column">
              <wp:posOffset>104211</wp:posOffset>
            </wp:positionH>
            <wp:positionV relativeFrom="paragraph">
              <wp:posOffset>57856</wp:posOffset>
            </wp:positionV>
            <wp:extent cx="2600099" cy="1027288"/>
            <wp:effectExtent l="0" t="0" r="3810" b="1905"/>
            <wp:wrapNone/>
            <wp:docPr id="1156472908" name="Gambar 2" descr="Sebuah gambar berisi teks, nomor, Font, software&#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72908" name="Gambar 2" descr="Sebuah gambar berisi teks, nomor, Font, software&#10;&#10;Konten yang dihasilkan AI mungkin salah."/>
                    <pic:cNvPicPr/>
                  </pic:nvPicPr>
                  <pic:blipFill rotWithShape="1">
                    <a:blip r:embed="rId13" cstate="print">
                      <a:extLst>
                        <a:ext uri="{28A0092B-C50C-407E-A947-70E740481C1C}">
                          <a14:useLocalDpi xmlns:a14="http://schemas.microsoft.com/office/drawing/2010/main" val="0"/>
                        </a:ext>
                      </a:extLst>
                    </a:blip>
                    <a:srcRect l="11757" t="33530" r="9783" b="18795"/>
                    <a:stretch>
                      <a:fillRect/>
                    </a:stretch>
                  </pic:blipFill>
                  <pic:spPr bwMode="auto">
                    <a:xfrm>
                      <a:off x="0" y="0"/>
                      <a:ext cx="2625510" cy="1037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6E8E9B" w14:textId="27AC932E" w:rsidR="00F853B2" w:rsidRPr="00F853B2" w:rsidRDefault="00F853B2" w:rsidP="00F853B2">
      <w:pPr>
        <w:shd w:val="clear" w:color="auto" w:fill="FFFFFF"/>
        <w:spacing w:after="0" w:line="240" w:lineRule="auto"/>
        <w:ind w:firstLine="720"/>
        <w:jc w:val="both"/>
        <w:rPr>
          <w:rFonts w:ascii="Times New Roman" w:eastAsiaTheme="minorHAnsi" w:hAnsi="Times New Roman" w:cs="Times New Roman"/>
          <w:sz w:val="20"/>
          <w:szCs w:val="20"/>
          <w:lang w:eastAsia="ja-JP"/>
        </w:rPr>
      </w:pPr>
    </w:p>
    <w:p w14:paraId="5B853DE6" w14:textId="7A7ECFBF"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3E686152" w14:textId="0F273070"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1BE1BF7C"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9BDA1DD"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D16BAB2"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2CFAC33"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45B01667" w14:textId="54177426"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r w:rsidRPr="00543D14">
        <w:rPr>
          <w:rFonts w:ascii="Times New Roman" w:hAnsi="Times New Roman" w:cs="Times New Roman"/>
          <w:b/>
          <w:sz w:val="20"/>
          <w:szCs w:val="20"/>
          <w:lang w:eastAsia="ja-JP"/>
        </w:rPr>
        <w:t>Sumber : Data Diolah dengan Eviews 13 (2026)</w:t>
      </w:r>
    </w:p>
    <w:p w14:paraId="4AF72686"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16C62D54" w14:textId="03E55C4C" w:rsidR="00543D14" w:rsidRPr="00543D14" w:rsidRDefault="00543D14" w:rsidP="00543D14">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signifikan pada model gabungan regional. Artinya, di lapangan, pergerakan nilai mata uang di masing-masing negara memang bukan menjadi alasan utama bagi perusahaan asing untuk menanamkan modalnya. Walaupun semuanya kompak tidak signifikan, arah tanda koefisien di setiap negara menunjukkan hal yang sangat menarik jika kita hubungkan kembali dengan logika apresiasi dan depresiasi dari landasan teori yang ada pada Bab II.</w:t>
      </w:r>
    </w:p>
    <w:p w14:paraId="4BC5B3B3" w14:textId="77777777" w:rsidR="00543D14" w:rsidRPr="00543D14" w:rsidRDefault="00543D14" w:rsidP="00543D14">
      <w:pPr>
        <w:shd w:val="clear" w:color="auto" w:fill="FFFFFF"/>
        <w:spacing w:after="0" w:line="240" w:lineRule="auto"/>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 xml:space="preserve">Bagi kelompok negara yang koefisiennya bertanda negatif, yaitu Indonesia (-0,052), Singapura (-3,584), Vietnam (-0,062), Filipina (-0,948), Kamboja (-0,052), Malaysia (-3,539), dan Thailand (-1,495), arah data ini sejalan dengan logika depresiasi dalam Teori Wealth Effect (Froot &amp; Stein) dan Teori Biaya Tenaga Kerja Relatif (Cushman). Logika teorinya menjelaskan bahwa ketika mata uang negara tujuan mengalami depresiasi atau melemah terhadap Dolar AS, maka nilai tukar uang asing milik investor akan terasa lebih perkasa. Akibatnya, harga aset domestik, tanah, biaya operasional, dan upah buruh lokal menjadi jauh lebih murah di mata investor luar negeri. </w:t>
      </w:r>
    </w:p>
    <w:p w14:paraId="7A8BBF1A" w14:textId="77777777" w:rsidR="00543D14" w:rsidRPr="00543D14" w:rsidRDefault="00543D14" w:rsidP="00543D14">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Penurunan biaya ini seharusnya mendorong masuknya investasi. Namun, karena hasil pengujian statistiknya tidak signifikan, murahnya biaya akibat depresiasi kurs ini tidak otomatis mendatangkan lonjakan modal baru. Investor di negara-negara besar seperti Indonesia, Singapura, dan Malaysia terbukti tidak silau oleh mata uang yang murah, melainkan lebih memprioritaskan faktor ekonomi riil yang lebih menjanjikan keuntungan jangka panjang.</w:t>
      </w:r>
    </w:p>
    <w:p w14:paraId="5E2F49EB" w14:textId="77777777" w:rsidR="00543D14" w:rsidRPr="00543D14" w:rsidRDefault="00543D14" w:rsidP="00543D14">
      <w:pPr>
        <w:shd w:val="clear" w:color="auto" w:fill="FFFFFF"/>
        <w:spacing w:after="0" w:line="240" w:lineRule="auto"/>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Kondisi yang berbeda ditunjukkan oleh Laos (0,033) dan Brunei Darussalam (4,145) yang mencatatkan arah koefisien positif. Tanda positif ini secara jujur mengonfirmasi logika apresiasi dalam paradigma ekonomi modern yang dikembangkan oleh Campa, yang berfokus pada nilai repatriasi keuntungan. Berdasarkan teori ini, investor jangka panjang sebenarnya lebih menyukai mata uang negara tujuan yang kuat atau mengalami apresiasi. Logikanya adalah ketika mata uang lokal menguat, maka setiap keuntungan atau laba bersih yang dihasilkan di negara tersebut akan bernilai sangat tinggi dan tidak menyusut saat ditukarkan kembali ke mata uang negara asal investor (repatriasi keuntungan).</w:t>
      </w:r>
    </w:p>
    <w:p w14:paraId="5733B7C7" w14:textId="77777777" w:rsidR="00543D14" w:rsidRPr="00543D14" w:rsidRDefault="00543D14" w:rsidP="00543D14">
      <w:pPr>
        <w:shd w:val="clear" w:color="auto" w:fill="FFFFFF"/>
        <w:spacing w:after="0" w:line="240" w:lineRule="auto"/>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lastRenderedPageBreak/>
        <w:t>Di Laos, meskipun mata uang Kip aslinya melemah secara riil di akhir periode, angka positif di tabel muncul karena modal asing yang masuk berbentuk proyek infrastruktur raksasa yang nilainya dikunci menggunakan Dolar AS. Jadi, saat uang Dolar itu dikonversi ke nilai Kip yang sedang jatuh, angka nominal investasinya justru terlihat membengkak di atas kertas. Sementara untuk Brunei Darussalam, tanda positif ini mempertegas bahwa sektor migas mereka murni menggunakan acuan Dolar AS, sehingga keputusan investor tidak goyah oleh pergerakan kurs domestik. Sifat tidak signifikan di seluruh wilayah ini menegaskan bahwa investor asing di ASEAN adalah investor jangka panjang yang biasanya sudah mengamankan risiko moneter mereka melalui sistem lindung nilai (hedging) di pasar modal dunia.</w:t>
      </w:r>
    </w:p>
    <w:p w14:paraId="082F78DA" w14:textId="761E2D59" w:rsidR="00543D14" w:rsidRDefault="00543D14" w:rsidP="00543D14">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543D14">
        <w:rPr>
          <w:rFonts w:ascii="Times New Roman" w:eastAsiaTheme="minorHAnsi" w:hAnsi="Times New Roman" w:cs="Times New Roman"/>
          <w:sz w:val="20"/>
          <w:szCs w:val="20"/>
          <w:lang w:val="id-ID" w:eastAsia="ja-JP"/>
        </w:rPr>
        <w:t>Hasil penemuan ini sejalan dengan penelitian dari Erika Bela Agustin et al. (2021) di Singapura yang menyebutkan bahwa ukuran ekonomi seperti GDP punya peran yang jauh lebih kuat dalam menarik investasi dibanding variabel moneter. Moch Rizal Fadhlan et al. (2025) juga menambahkan bahwa di kawasan ASEAN, kekuatan pasar riil dan pertumbuhan ekonomi selalu berhasil mengalahkan urusan fluktuasi nilai tukar. Secara keseluruhan, hasil analisis ini membantah anggapan konvensional bahwa mata uang yang murah atau terdepresiasi pasti selalu sukses menarik minat investasi. Tidak signifikannya pengaruh kurs di seluruh negara ASEAN ini menjadi bukti bahwa daya tarik investasi lebih banyak ditentukan oleh kemampuan pemerintah dalam menjaga kestabilan ekonomi secara utuh. Seperti yang ditemukan oleh Purwono &amp; Hayati (2021), kualitas sistem hukum dan besarnya pasar adalah kunci utamanya. Hal inilah yang membuat naik-turunnya nilai kurs di lapangan tidak menjadi penghalang bagi investor, selama kepastian hukum, pertumbuhan ekonomi, dan keamanan modal mereka tetap terjamin dengan baik di negara tujuan.</w:t>
      </w:r>
    </w:p>
    <w:p w14:paraId="209AD539" w14:textId="13D1FAF2" w:rsidR="00543D14" w:rsidRPr="0099535A" w:rsidRDefault="00543D14" w:rsidP="0099535A">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 xml:space="preserve">Pengaruh Pertumbuhan Ekonomi (Gross Domestic Product) Terhadap Foreign Direct Investment (FDI) </w:t>
      </w:r>
    </w:p>
    <w:p w14:paraId="6EF2A5A0" w14:textId="77777777" w:rsidR="00543D14" w:rsidRPr="00543D14" w:rsidRDefault="00543D14" w:rsidP="00543D14">
      <w:pPr>
        <w:shd w:val="clear" w:color="auto" w:fill="FFFFFF"/>
        <w:spacing w:after="0" w:line="240" w:lineRule="auto"/>
        <w:ind w:firstLine="720"/>
        <w:jc w:val="both"/>
        <w:rPr>
          <w:rFonts w:ascii="Times New Roman" w:hAnsi="Times New Roman" w:cs="Times New Roman"/>
          <w:bCs/>
          <w:sz w:val="20"/>
          <w:szCs w:val="20"/>
          <w:lang w:eastAsia="ja-JP"/>
        </w:rPr>
      </w:pPr>
      <w:r w:rsidRPr="00543D14">
        <w:rPr>
          <w:rFonts w:ascii="Times New Roman" w:hAnsi="Times New Roman" w:cs="Times New Roman"/>
          <w:bCs/>
          <w:sz w:val="20"/>
          <w:szCs w:val="20"/>
          <w:lang w:eastAsia="ja-JP"/>
        </w:rPr>
        <w:t xml:space="preserve">Berdasarkan hasil pengujian parsial (Uji t) pada model gabungan regional Fixed Effect Model (FEM) yang tertera pada Tabel 4.3 sebelumnya, variabel Pertumbuhan Ekonomi atau Ukuran Pasar yang diproyeksikan melalui Gross Domestic Product (GDP/GDF) secara regional memiliki nilai koefisien positif sebesar 0,065617 dengan nilai probabilitas sebesar 0,0328. Karena nilai probabilitas tersebut lebih kecil dari taraf signifikansi α=5% (0,0328&lt;0,05), secara agregat regional dapat disimpulkan bahwa Pertumbuhan Ekonomi (GDP) berpengaruh positif dan signifikan terhadap aliran masuk Foreign Direct Investment (FDI) di kawasan ASEAN. Temuan regional ini sangat kuat dan mendukung penuh paradigma Market-seeking Investment dalam teori investasi </w:t>
      </w:r>
      <w:r w:rsidRPr="00543D14">
        <w:rPr>
          <w:rFonts w:ascii="Times New Roman" w:hAnsi="Times New Roman" w:cs="Times New Roman"/>
          <w:bCs/>
          <w:sz w:val="20"/>
          <w:szCs w:val="20"/>
          <w:lang w:eastAsia="ja-JP"/>
        </w:rPr>
        <w:t>internasional John H. Dunning, di mana kapasitas ekonomi suatu negara tujuan menjadi magnet utama bagi perusahaan multinasional dalam menanamkan modal ekspansinya.</w:t>
      </w:r>
    </w:p>
    <w:p w14:paraId="6DC8D49F" w14:textId="77777777" w:rsidR="00543D14" w:rsidRPr="00543D14" w:rsidRDefault="00543D14" w:rsidP="00543D14">
      <w:pPr>
        <w:shd w:val="clear" w:color="auto" w:fill="FFFFFF"/>
        <w:spacing w:after="0" w:line="240" w:lineRule="auto"/>
        <w:ind w:firstLine="720"/>
        <w:jc w:val="both"/>
        <w:rPr>
          <w:rFonts w:ascii="Times New Roman" w:hAnsi="Times New Roman" w:cs="Times New Roman"/>
          <w:bCs/>
          <w:sz w:val="20"/>
          <w:szCs w:val="20"/>
          <w:lang w:eastAsia="ja-JP"/>
        </w:rPr>
      </w:pPr>
      <w:r w:rsidRPr="00543D14">
        <w:rPr>
          <w:rFonts w:ascii="Times New Roman" w:hAnsi="Times New Roman" w:cs="Times New Roman"/>
          <w:bCs/>
          <w:sz w:val="20"/>
          <w:szCs w:val="20"/>
          <w:lang w:eastAsia="ja-JP"/>
        </w:rPr>
        <w:t>Untuk membedah fenomena ini secara lebih mendalam dan melihat bagaimana dampak riil GDP di masing-masing wilayah, dilakukan analisis spasial keterikatan GDP terhadap FDI per negara yang dirangkum dalam Tabel 4.7 berikut:</w:t>
      </w:r>
    </w:p>
    <w:p w14:paraId="13FBFC6B" w14:textId="50A953F5" w:rsidR="00543D14" w:rsidRPr="0099535A" w:rsidRDefault="00543D14" w:rsidP="0099535A">
      <w:pPr>
        <w:shd w:val="clear" w:color="auto" w:fill="FFFFFF"/>
        <w:spacing w:after="0" w:line="240" w:lineRule="auto"/>
        <w:jc w:val="center"/>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Tabel 4.7 Pengaruh Pertumbuhan Ekonomi ( GDP) Per Negara</w:t>
      </w:r>
    </w:p>
    <w:p w14:paraId="37F73035" w14:textId="4555A9CF" w:rsidR="00543D14" w:rsidRDefault="00EA1F71" w:rsidP="00F853B2">
      <w:pPr>
        <w:shd w:val="clear" w:color="auto" w:fill="FFFFFF"/>
        <w:spacing w:after="0" w:line="240" w:lineRule="auto"/>
        <w:jc w:val="both"/>
        <w:rPr>
          <w:rFonts w:ascii="Times New Roman" w:hAnsi="Times New Roman" w:cs="Times New Roman"/>
          <w:b/>
          <w:sz w:val="20"/>
          <w:szCs w:val="20"/>
          <w:lang w:eastAsia="ja-JP"/>
        </w:rPr>
      </w:pPr>
      <w:r>
        <w:rPr>
          <w:rFonts w:ascii="Times New Roman" w:hAnsi="Times New Roman" w:cs="Times New Roman"/>
          <w:b/>
          <w:noProof/>
          <w:sz w:val="20"/>
          <w:szCs w:val="20"/>
          <w:lang w:eastAsia="ja-JP"/>
        </w:rPr>
        <w:drawing>
          <wp:anchor distT="0" distB="0" distL="114300" distR="114300" simplePos="0" relativeHeight="251658752" behindDoc="0" locked="0" layoutInCell="1" allowOverlap="1" wp14:anchorId="29E29E5D" wp14:editId="33CEB50A">
            <wp:simplePos x="0" y="0"/>
            <wp:positionH relativeFrom="column">
              <wp:posOffset>-315</wp:posOffset>
            </wp:positionH>
            <wp:positionV relativeFrom="paragraph">
              <wp:posOffset>37487</wp:posOffset>
            </wp:positionV>
            <wp:extent cx="2659165" cy="1074145"/>
            <wp:effectExtent l="0" t="0" r="0" b="5715"/>
            <wp:wrapNone/>
            <wp:docPr id="170243058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30581" name="Gambar 1702430581"/>
                    <pic:cNvPicPr/>
                  </pic:nvPicPr>
                  <pic:blipFill rotWithShape="1">
                    <a:blip r:embed="rId14" cstate="print">
                      <a:extLst>
                        <a:ext uri="{28A0092B-C50C-407E-A947-70E740481C1C}">
                          <a14:useLocalDpi xmlns:a14="http://schemas.microsoft.com/office/drawing/2010/main" val="0"/>
                        </a:ext>
                      </a:extLst>
                    </a:blip>
                    <a:srcRect l="9180" t="31439" r="6078" b="15923"/>
                    <a:stretch>
                      <a:fillRect/>
                    </a:stretch>
                  </pic:blipFill>
                  <pic:spPr bwMode="auto">
                    <a:xfrm>
                      <a:off x="0" y="0"/>
                      <a:ext cx="2686904" cy="108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89D649" w14:textId="5B82D5EC"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154DA7F0"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5ECB8FFA"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5DBEA487"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17719ACF"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3CF4570"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7446D145"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5E355E84"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Sumber : Data Diolah dengan Eviews 13 (2026)</w:t>
      </w:r>
    </w:p>
    <w:p w14:paraId="4077E65D"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p>
    <w:p w14:paraId="52CD53A7"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Tabel 4.7 di atas, kita bisa melihat bahwa reaksi investor terhadap pertumbuhan ekonomi di tingkat domestik ternyata sangat bervariasi dan tidak sama rata. Pada kelompok negara manufaktur utama seperti Vietnam (-0,116), Filipina (-0,097), Malaysia (-0,048), dan Thailand (-0,084), variabel GDP menunjukkan pengaruh yang signifikan tapi arah koefisiennya justru bernilai negatif.</w:t>
      </w:r>
    </w:p>
    <w:p w14:paraId="2A0F0DA7"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Secara teori ekonomi internasional, tanda negatif yang signifikan ini menjelaskan adanya pergeseran motif investor ke arah Efficiency-Seeking atau mencari efisiensi biaya. Logikanya, saat pertumbuhan GDP di negara-negara manufaktur ini melaju terlalu cepat, kondisi tersebut biasanya langsung diikuti oleh kenaikan upah minimum regional, harga sewa lahan, dan biaya operasional pabrik. Karena investor asing masuk ke Vietnam, Thailand, Malaysia, dan Filipina umumnya demi mengejar biaya produksi yang murah untuk kebutuhan ekspor kembali ke pasar global, maka lonjakan biaya akibat pertumbuhan ekonomi lokal ini justru membuat mereka menahan diri atau memperlambat masuknya modal baru.</w:t>
      </w:r>
    </w:p>
    <w:p w14:paraId="1E8B8D4C"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Kondisi yang bertolak belakang terjadi pada Laos (0,184; signifikan 1%) dan Brunei Darussalam (0,046; signifikan 1%) yang mencatatkan nilai koefisien positif dan sangat signifikan. Hasil ini mendukung penuh teori Market-Seeking FDI, di mana pada negara berkembang seperti Laos, bertambahnya kapasitas ekonomi domestik merupakan prasyarat mutlak yang langsung direspons positif oleh modal asing untuk membangun pasar. </w:t>
      </w:r>
    </w:p>
    <w:p w14:paraId="6AB856FA"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Sementara untuk Brunei Darussalam, nilai positif yang signifikan ini menggambarkan karakteristik investasi asing yang sangat bergantung pada proyek infrastruktur besar bentukan pemerintah (state-driven) di sektor ekstraktif migas. </w:t>
      </w:r>
      <w:r w:rsidRPr="00EA1F71">
        <w:rPr>
          <w:rFonts w:ascii="Times New Roman" w:hAnsi="Times New Roman" w:cs="Times New Roman"/>
          <w:bCs/>
          <w:sz w:val="20"/>
          <w:szCs w:val="20"/>
          <w:lang w:eastAsia="ja-JP"/>
        </w:rPr>
        <w:lastRenderedPageBreak/>
        <w:t>Jadi, setiap kali output ekonomi Brunei naik, hal itu otomatis menjadi tanda adanya realisasi modal asing baru yang masuk ke industri hulu energi mereka.</w:t>
      </w:r>
    </w:p>
    <w:p w14:paraId="3CEDA1C4"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Di sisi lain, variabel GDP terbukti tidak berpengaruh nyata secara statistik di Indonesia (-0,064) dan Singapura (-0,003). Bagi Singapura, ukuran pasar domestik yang kecil memang tidak pernah menjadi alasan utama investor global datang, karena negara ini dipilih atas keunggulan konektivitas logistik dunia dan kepastian hukumnya. Sementara untuk Indonesia, meskipun grafik GDP riil terus mendaki naik dari tahun ke tahun, aliran FDI di lapangan sering kali menumpuk pada sektor padat modal tertentu seperti hilirisasi nikel. Pergerakan modal di sektor ini lebih banyak dipicu oleh kebijakan pelarangan ekspor bijih mentah dan tren harga komoditas global, ketimbang fluktuasi angka PDB tahunan secara umum.</w:t>
      </w:r>
    </w:p>
    <w:p w14:paraId="0363BA18"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Perbedaan dampak di tingkat domestik ini menjelaskan mengapa ketika data panel digabungkan di tingkat ASEAN, model regresi menangkap pengaruh yang positif. Hal ini terjadi karena investor global melihat potensi kolektif ASEAN sebagai satu kesatuan pasar tunggal (single market) yang besar dan terintegrasi, yang mampu menutupi hambatan biaya lokal di masing-masing negara. Temuan ini sejalan dengan penelitian dari Erika Bela Agustin et al. (2021) yang menunjukkan bahwa relevansi kapasitas ekonomi makro harus selalu dibaca bersamaan dengan karakteristik motif dasar investasi di negara tujuan. </w:t>
      </w:r>
    </w:p>
    <w:p w14:paraId="23E6CEB0"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Senada dengan itu, Moch Rizal Fadhlan et al. (2025) juga menegaskan bahwa perbedaan struktur ekonomi antarnegara membuat respons investor terhadap indikator makroekonomi tidak akan pernah seragam. Hasil ini juga memperkuat pandangan dari Purwono &amp; Hayati (2021) bahwa sinergi antara stabilitas pasar domestik dan kualitas institusi jangka panjang tetap memegang peran kunci dalam mempertahankan daya tarik modal asing di Asia Tenggara secara berkelanjutan</w:t>
      </w:r>
    </w:p>
    <w:p w14:paraId="6893F09B" w14:textId="7994D094" w:rsidR="00EA1F71" w:rsidRPr="0099535A"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Pengaruh Kualitas Regulasi (Regulatory Quality) Terhadap Foreign Direct Investment (FDI) di 9 Negara ASEAN</w:t>
      </w:r>
    </w:p>
    <w:p w14:paraId="0E824CC5"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Berdasarkan hasil pengujian parsial (Uji t) pada model gabungan regional Fixed Effect Model (FEM) yang tertera pada Tabel 4.3 sebelumnya, variabel Inflasi (INF) secara regional memiliki nilai koefisien negatif sebesar -0,032744 dengan tingkat probabilitas sebesar 0,9250. Karena nilai probabilitas tersebut jauh lebih besar dari taraf signifikansi α=5% (0,9250&gt;0,05), secara agregat regional dapat disimpulkan bahwa Inflasi tidak memiliki pengaruh yang signifikan terhadap aliran masuk Foreign Direct Investment (FDI) di kawasan ASEAN. Secara teori ekonomi makro, temuan regional yang tidak signifikan ini mengindikasikan bahwa pergerakan harga konsumen jangka pendek di tingkat regional tidak menjadi pertimbangan utama bagi investor global, selama fundamental </w:t>
      </w:r>
      <w:r w:rsidRPr="00EA1F71">
        <w:rPr>
          <w:rFonts w:ascii="Times New Roman" w:hAnsi="Times New Roman" w:cs="Times New Roman"/>
          <w:bCs/>
          <w:sz w:val="20"/>
          <w:szCs w:val="20"/>
          <w:lang w:eastAsia="ja-JP"/>
        </w:rPr>
        <w:t>ekonomi makro lainnya di Asia Tenggara tetap berada dalam koridor yang sehat dan terkendali.</w:t>
      </w:r>
    </w:p>
    <w:p w14:paraId="6D1514CB" w14:textId="37C7C89B" w:rsidR="00543D14"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Untuk membedah alasan di balik ketidaksignifikanan tersebut secara lebih mendalam dan melihat bagaimana dinamika stabilitas harga riil di masing-masing wilayah domestik, dilakukan analisis spasial keterikatan Inflasi terhadap FDI per negara yang dirangkum dalam Tabel 4.8 berikut:</w:t>
      </w:r>
    </w:p>
    <w:p w14:paraId="7F657956" w14:textId="7738A638" w:rsidR="00EA1F71" w:rsidRPr="0099535A" w:rsidRDefault="00EA1F71" w:rsidP="0099535A">
      <w:pPr>
        <w:shd w:val="clear" w:color="auto" w:fill="FFFFFF"/>
        <w:spacing w:after="0" w:line="240" w:lineRule="auto"/>
        <w:jc w:val="center"/>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Tabel 4.8 Pengaruh Kualitas Regulasi (RQ)  Per Negara</w:t>
      </w:r>
    </w:p>
    <w:p w14:paraId="665FFB43" w14:textId="30799809"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Pr>
          <w:rFonts w:ascii="Times New Roman" w:hAnsi="Times New Roman" w:cs="Times New Roman"/>
          <w:bCs/>
          <w:noProof/>
          <w:sz w:val="20"/>
          <w:szCs w:val="20"/>
          <w:lang w:eastAsia="ja-JP"/>
        </w:rPr>
        <w:drawing>
          <wp:anchor distT="0" distB="0" distL="114300" distR="114300" simplePos="0" relativeHeight="251660288" behindDoc="0" locked="0" layoutInCell="1" allowOverlap="1" wp14:anchorId="43CA52E8" wp14:editId="4953ED98">
            <wp:simplePos x="0" y="0"/>
            <wp:positionH relativeFrom="column">
              <wp:posOffset>-314</wp:posOffset>
            </wp:positionH>
            <wp:positionV relativeFrom="paragraph">
              <wp:posOffset>-1071</wp:posOffset>
            </wp:positionV>
            <wp:extent cx="2682024" cy="1074144"/>
            <wp:effectExtent l="0" t="0" r="0" b="5715"/>
            <wp:wrapNone/>
            <wp:docPr id="48349505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95052" name="Gambar 483495052"/>
                    <pic:cNvPicPr/>
                  </pic:nvPicPr>
                  <pic:blipFill rotWithShape="1">
                    <a:blip r:embed="rId15" cstate="print">
                      <a:extLst>
                        <a:ext uri="{28A0092B-C50C-407E-A947-70E740481C1C}">
                          <a14:useLocalDpi xmlns:a14="http://schemas.microsoft.com/office/drawing/2010/main" val="0"/>
                        </a:ext>
                      </a:extLst>
                    </a:blip>
                    <a:srcRect l="8762" t="28232" r="7343" b="20101"/>
                    <a:stretch>
                      <a:fillRect/>
                    </a:stretch>
                  </pic:blipFill>
                  <pic:spPr bwMode="auto">
                    <a:xfrm>
                      <a:off x="0" y="0"/>
                      <a:ext cx="2704131" cy="10829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584F6A"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7513E073"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90D9366"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0FA5C7BD"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35422547"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358948E3" w14:textId="77777777" w:rsidR="0099535A" w:rsidRDefault="0099535A" w:rsidP="00F853B2">
      <w:pPr>
        <w:shd w:val="clear" w:color="auto" w:fill="FFFFFF"/>
        <w:spacing w:after="0" w:line="240" w:lineRule="auto"/>
        <w:jc w:val="both"/>
        <w:rPr>
          <w:rFonts w:ascii="Times New Roman" w:hAnsi="Times New Roman" w:cs="Times New Roman"/>
          <w:b/>
          <w:sz w:val="20"/>
          <w:szCs w:val="20"/>
          <w:lang w:eastAsia="ja-JP"/>
        </w:rPr>
      </w:pPr>
    </w:p>
    <w:p w14:paraId="2DD80CEB"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4B1915C5" w14:textId="77777777" w:rsidR="00EA1F71" w:rsidRPr="00EA1F71"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EA1F71">
        <w:rPr>
          <w:rFonts w:ascii="Times New Roman" w:hAnsi="Times New Roman" w:cs="Times New Roman"/>
          <w:b/>
          <w:sz w:val="20"/>
          <w:szCs w:val="20"/>
          <w:lang w:eastAsia="ja-JP"/>
        </w:rPr>
        <w:t>Sumber : Data Diolah dengan Eviews 13 (2026)</w:t>
      </w:r>
    </w:p>
    <w:p w14:paraId="1C64F23F" w14:textId="77777777" w:rsidR="00EA1F71" w:rsidRPr="00EA1F71" w:rsidRDefault="00EA1F71" w:rsidP="00EA1F71">
      <w:pPr>
        <w:shd w:val="clear" w:color="auto" w:fill="FFFFFF"/>
        <w:spacing w:after="0" w:line="240" w:lineRule="auto"/>
        <w:jc w:val="both"/>
        <w:rPr>
          <w:rFonts w:ascii="Times New Roman" w:hAnsi="Times New Roman" w:cs="Times New Roman"/>
          <w:b/>
          <w:sz w:val="20"/>
          <w:szCs w:val="20"/>
          <w:lang w:eastAsia="ja-JP"/>
        </w:rPr>
      </w:pPr>
    </w:p>
    <w:p w14:paraId="67AE1FE5"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Tabel 4.8 di atas, kita bisa melihat bahwa reaksi investor terhadap inflasi domestik ternyata menghasilkan cerita yang sangat berbeda antarnegara, yang sekaligus menjawab mengapa variabel ini saling meniadakan dan menjadi tidak signifikan pada model gabungan regional ASEAN. Pada kelompok negara manufaktur utama seperti Vietnam (-0,472) dan Thailand (-0,520), variabel inflasi menunjukkan pengaruh negatif .</w:t>
      </w:r>
    </w:p>
    <w:p w14:paraId="1E0A7932"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Arah koefisien negatif ini sesuai dengan Teori Insentif Biaya (Cost-Incentive Theory). Logikanya, bagi investor sektor industri manufaktur ekspor di Vietnam dan Thailand, kenaikan inflasi lokal dianggap sebagai kabar buruk karena langsung menaikkan harga bahan baku domestik, biaya logistik, dan upah riil tenaga kerja. Karena biaya produksi membengkak, daya saing barang ekspor mereka di pasar global akan menurun, sehingga investor cenderung menahan diri untuk menambah modal baru. Sementara itu, pengaruh negatif yang tidak signifikan di Indonesia (-0,228), Filipina (-0,400), dan Malaysia (-0,406) memperlihatkan bahwa fluktuasi harga di ketiga negara ini masih berada dalam batas kewajaran yang bisa ditebak, sehingga investor jangka panjang tidak menganggapnya sebagai ancaman besar.</w:t>
      </w:r>
    </w:p>
    <w:p w14:paraId="12D84750"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Kondisi berbeda yang sangat menarik terlihat pada Laos (1,094; signifikan 1%) dan Brunei Darussalam (2,507; signifikan 1%) yang mencatatkan arah koefisien positif dan sangat signifikan. Di Laos, kalau kita hubungkan dengan gambar grafik perkembangan pada Gambar 4.6, negara ini memang sempat mengalami kenaikan inflasi yang sangat tinggi di akhir periode. Namun, angka positif di tabel membuktikan adanya fenomena Demand-Pull Inflation atau inflasi yang dipicu oleh lonjakan permintaan akibat pembangunan ekonomi. </w:t>
      </w:r>
    </w:p>
    <w:p w14:paraId="0E347ADE"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lastRenderedPageBreak/>
        <w:t>Kenaikan harga di Laos terjadi karena adanya aktivitas proyek infrastruktur berskala raksasa yang didanai langsung oleh modal asing, salah satu contoh nyatanya adalah pembangunan jalur Kereta Api Laos-China. Investor besar di sektor infrastruktur Laos serta sektor energi migas di Brunei Darussalam tetap berani menanamkan modalnya karena keuntungan jangka panjang dari penguasaan aset di sana dinilai jauh lebih besar daripada risiko inflasi lokal. Di sisi lain, nilai positif yang tidak signifikan pada Singapura (0,020) mengonfirmasi bahwa inflasi yang terjadi di sana adalah hal normal dari pertumbuhan ekonomi yang sehat, bukan karena pasar yang rusak.</w:t>
      </w:r>
    </w:p>
    <w:p w14:paraId="0E5A4FF9"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Perbedaan dampak ini membuktikan bahwa investor asing di Asia Tenggara mampu memisahkan antara risiko kenaikan harga jangka pendek dengan prospek bisnis jangka panjang. Temuan per negara ini sejalan dengan argumen dari Erika Bela Agustin et al. (2021) yang menyatakan bahwa urusan moneter domestik seperti inflasi sering kali dikesampingkan oleh investor luar negeri yang punya modal kuat. </w:t>
      </w:r>
    </w:p>
    <w:p w14:paraId="39BAB536"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Senada dengan itu, Moch Rizal Fadhlan et al. (2025) juga menegaskan bahwa kekuatan ukuran pasar dan kualitas tata kelola institusi jauh lebih penting bagi keputusan investasi. Akhirnya, seperti yang ditekankan oleh Purwono &amp; Hayati (2021), fluktuasi inflasi tahunan di tiap negara ASEAN tidak akan menjadi penghambat arus modal masuk, selama pemerintah setempat mampu memberikan jaminan berupa aturan usaha yang jelas, perluasan pasar, dan keamanan modal yang berkelanjutan.</w:t>
      </w:r>
    </w:p>
    <w:p w14:paraId="4AC6A378" w14:textId="6EBE0926" w:rsidR="00EA1F71" w:rsidRPr="0099535A"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Pengaruh Keterbukaan Perdagangan (Trade Openness) Terhadap Foreign Direct Investment (FDI) di 9 Negara ASEAN</w:t>
      </w:r>
    </w:p>
    <w:p w14:paraId="417A1E0B"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hasil pengujian parsial (Uji t) pada model gabungan regional Fixed Effect Model (FEM) yang tertera pada Tabel 4.3 sebelumnya, variabel Kualitas Regulasi (RQ) secara regional memiliki nilai koefisien positif sebesar 0,051240 dengan tingkat probabilitas sebesar 0,1982. Mengingat nilai probabilitas tersebut lebih besar dari taraf signifikansi α=5% (0,1982&gt;0,05), secara agregat regional dapat disimpulkan bahwa Kualitas Regulasi tidak memiliki pengaruh yang signifikan terhadap aliran masuk Foreign Direct Investment (FDI) di kawasan ASEAN. Temuan regional ini memberikan indikasi awal yang menarik bagi pilar teori institusional ekonomi, di mana agregasi indeks tata kelola hukum pada tingkat regional sering kali mengalami bias standardisasi yang tinggi, sehingga gagal menangkap sensitivitas riil dari para pelaku investasi asing yang beroperasi di wilayah Asia Tenggara secara umum.</w:t>
      </w:r>
    </w:p>
    <w:p w14:paraId="0D24D51E" w14:textId="04DF519C" w:rsidR="00543D14"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Untuk mengurai fleksibilitas kelembagaan dan efektivitas regulasi usaha secara lebih objektif di tingkat domestik masing-masing negara anggota, dilakukan analisis spasial keterikatan Kualitas </w:t>
      </w:r>
      <w:r w:rsidRPr="00EA1F71">
        <w:rPr>
          <w:rFonts w:ascii="Times New Roman" w:hAnsi="Times New Roman" w:cs="Times New Roman"/>
          <w:bCs/>
          <w:sz w:val="20"/>
          <w:szCs w:val="20"/>
          <w:lang w:eastAsia="ja-JP"/>
        </w:rPr>
        <w:t>Regulasi terhadap FDI per negara yang dirangkum dalam Tabel 4.9 berikut:</w:t>
      </w:r>
    </w:p>
    <w:p w14:paraId="4B011C88" w14:textId="70FCE011" w:rsidR="00EA1F71" w:rsidRPr="0099535A" w:rsidRDefault="00EA1F71" w:rsidP="0099535A">
      <w:pPr>
        <w:shd w:val="clear" w:color="auto" w:fill="FFFFFF"/>
        <w:spacing w:after="0" w:line="240" w:lineRule="auto"/>
        <w:jc w:val="center"/>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Tabel 4.9 Pengaruh Keterbukaan Perdagangan (TRD) Per Negara</w:t>
      </w:r>
    </w:p>
    <w:p w14:paraId="6CB0FC6E" w14:textId="2E9333D9"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noProof/>
          <w:sz w:val="20"/>
          <w:szCs w:val="20"/>
          <w:lang w:eastAsia="ja-JP"/>
        </w:rPr>
        <w:drawing>
          <wp:inline distT="0" distB="0" distL="0" distR="0" wp14:anchorId="6038C8E6" wp14:editId="2F4A1D54">
            <wp:extent cx="2630278" cy="1052111"/>
            <wp:effectExtent l="0" t="0" r="0" b="2540"/>
            <wp:docPr id="54517754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77542" name="Gambar 545177542"/>
                    <pic:cNvPicPr/>
                  </pic:nvPicPr>
                  <pic:blipFill rotWithShape="1">
                    <a:blip r:embed="rId16" cstate="print">
                      <a:extLst>
                        <a:ext uri="{28A0092B-C50C-407E-A947-70E740481C1C}">
                          <a14:useLocalDpi xmlns:a14="http://schemas.microsoft.com/office/drawing/2010/main" val="0"/>
                        </a:ext>
                      </a:extLst>
                    </a:blip>
                    <a:srcRect l="10431" t="32081" r="9224" b="18500"/>
                    <a:stretch>
                      <a:fillRect/>
                    </a:stretch>
                  </pic:blipFill>
                  <pic:spPr bwMode="auto">
                    <a:xfrm>
                      <a:off x="0" y="0"/>
                      <a:ext cx="2667850" cy="1067140"/>
                    </a:xfrm>
                    <a:prstGeom prst="rect">
                      <a:avLst/>
                    </a:prstGeom>
                    <a:ln>
                      <a:noFill/>
                    </a:ln>
                    <a:extLst>
                      <a:ext uri="{53640926-AAD7-44D8-BBD7-CCE9431645EC}">
                        <a14:shadowObscured xmlns:a14="http://schemas.microsoft.com/office/drawing/2010/main"/>
                      </a:ext>
                    </a:extLst>
                  </pic:spPr>
                </pic:pic>
              </a:graphicData>
            </a:graphic>
          </wp:inline>
        </w:drawing>
      </w:r>
    </w:p>
    <w:p w14:paraId="0E00AB2C"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Sumber : Data Diolah dengan Eviews 13 (2026)</w:t>
      </w:r>
    </w:p>
    <w:p w14:paraId="4AB37CF8"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p>
    <w:p w14:paraId="62CE0298"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Dari Tabel 4.9 di atas, kita bisa melihat bahwa pengaruh kualitas regulasi terhadap masuknya modal asing menunjukkan hasil yang berbeda-beda antara satu negara dengan negara lainnya. Dampak positif yang kuat dan signifikan pada taraf 1% ditemukan di Laos (0,191) dan Brunei Darussalam (0,158), serta didukung oleh Kamboja (0,047) yang signifikan pada taraf 10%.</w:t>
      </w:r>
    </w:p>
    <w:p w14:paraId="14466C85"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teori ekonomi, hasil positif dan signifikan pada kelompok negara berkembang ini membuktikan bahwa kepastian hukum, kemudahan izin usaha, serta perbaikan aturan birokrasi merupakan faktor utama yang sangat dibutuhkan untuk menarik perhatian investor baru. Di Laos dan Kamboja, langkah pemerintah dalam membenahi sistem birokrasi dari tingkat yang sebelumnya rendah terbukti langsung direspons dengan baik oleh modal asing karena memberikan jaminan keamanan atas kepemilikan aset mereka (property rights). Sementara di Brunei Darussalam, nilai positif yang signifikan ini menggambarkan keberhasilan pembenahan aturan investasi pada sektor industri non-migas dalam rangka mendukung program pemulihan dan pengalihan ketergantungan ekonomi negara mereka dari sektor minyak bumi.</w:t>
      </w:r>
    </w:p>
    <w:p w14:paraId="6CBDE1FC"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Sebaliknya, kondisi yang berbeda terjadi pada kelompok negara penggerak ekonomi utama seperti Indonesia (0,080), Singapura (0,013), Malaysia (0,013), Filipina (0,041), Vietnam (-0,002), dan Thailand (-0,004) yang secara konsisten menunjukkan hasil tidak signifikan. Bagi Singapura dan Malaysia, aturan hukum dan kemudahan berusaha memang sudah berada pada standar yang sangat baik dan stabil sejak lama (seperti yang terekam pada Gambar 4.4), sehingga perubahan kecil pada angka indeks tahunan tidak lagi mengubah volume modal asing yang masuk secara drastis.</w:t>
      </w:r>
    </w:p>
    <w:p w14:paraId="4B937F2D"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Sementara bagi Indonesia, Filipina, Vietnam, dan Thailand, tidak signifikannya variabel regulasi ini membuktikan bahwa investor asing jangka panjang cenderung bersikap adaptif atau maklum terhadap rumitnya birokrasi setempat. Selama keuntungan pasar riil (GDP) dinilai sangat besar dan menjanjikan keuntungan jangka panjang, serta pemerintah memberikan bantuan lain seperti pembebasan pajak (tax holiday) atau pembuatan </w:t>
      </w:r>
      <w:r w:rsidRPr="00EA1F71">
        <w:rPr>
          <w:rFonts w:ascii="Times New Roman" w:hAnsi="Times New Roman" w:cs="Times New Roman"/>
          <w:bCs/>
          <w:sz w:val="20"/>
          <w:szCs w:val="20"/>
          <w:lang w:eastAsia="ja-JP"/>
        </w:rPr>
        <w:lastRenderedPageBreak/>
        <w:t>kawasan ekonomi khusus, maka rumitnya birokrasi secara umum tidak menjadi penghambat bagi perusahaan besar untuk menanamkan modalnya di negara-negara tersebut.</w:t>
      </w:r>
    </w:p>
    <w:p w14:paraId="7482BA23"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Perbedaan dampak di tiap negara ini menjelaskan mengapa variabel Kualitas Regulasi menjadi tidak signifikan ketika seluruh data disatukan dalam model gabungan tingkat ASEAN. Temuan dari analisis per negara ini sejalan dengan hasil penelitian dari Erika Bela Agustin et al. (2021) yang menyimpulkan bahwa keuntungan ekonomi riil dan besarnya pasar sering kali menjadi pengganti utama yang menutupi kekurangan sistem hukum di negara berkembang. Hasil ini juga mendukung pandangan dari Moch Rizal Fadhlan et al. (2025) bahwa reaksi investor terhadap kualitas regulasi tidak bisa disamakan karena sangat bergantung pada kondisi awal birokrasi di tiap-tiap negara. Pada akhirnya, sebagaimana ditegaskan oleh Purwono &amp; Hayati (2021), kerja sama ekonomi ASEAN tidak mengharuskan adanya penyamaan aturan hukum yang kaku di setiap negara, melainkan kerja sama dalam menjaga kestabilan ekonomi jangka panjang demi terciptanya perputaran modal yang aman di wilayah Asia Tenggara.</w:t>
      </w:r>
    </w:p>
    <w:p w14:paraId="562BB3EB" w14:textId="1D2903F6" w:rsidR="00EA1F71" w:rsidRPr="0099535A"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Pengaruh Inflasi (Inflation) Terhadap Foreign Direct Investment (FDI) di 9 Negara ASEAN</w:t>
      </w:r>
    </w:p>
    <w:p w14:paraId="65A22B17"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hasil pengujian parsial (Uji t) pada model gabungan regional Fixed Effect Model (FEM) yang tertera pada Tabel 4.3 sebelumnya, variabel Keterbukaan Perdagangan (TRD) secara regional memiliki nilai koefisien negatif sebesar -0,022134 dengan nilai probabilitas sebesar 0,8410. Karena nilai probabilitas ini jauh lebih besar dari taraf signifikansi 5% (0,8410&gt;0,05), maka dapat disimpulkan bahwa secara keseluruhan di tingkat regional, Keterbukaan Perdagangan tidak berpengaruh signifikan terhadap aliran masuk Foreign Direct Investment (FDI) di kawasan ASEAN. Temuan ini menandakan bahwa kebijakan perdagangan luar negeri yang longgar di tingkat regional tidak selalu menjadi jaminan utama bagi masuknya modal asing, karena respons investor sangat bergantung pada karakteristik perdagangan di masing-masing negara secara spesifik.</w:t>
      </w:r>
    </w:p>
    <w:p w14:paraId="6D206DF7" w14:textId="195C00B4" w:rsidR="00543D14"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Untuk melihat bagaimana dampak keterbukaan perdagangan ini secara lebih nyata di setiap negara, dilakukan analisis per negara yang dirangkum dalam Tabel 4.10 berikut:</w:t>
      </w:r>
    </w:p>
    <w:p w14:paraId="40BC7DDB" w14:textId="77777777" w:rsidR="0099535A" w:rsidRDefault="0099535A" w:rsidP="00F853B2">
      <w:pPr>
        <w:shd w:val="clear" w:color="auto" w:fill="FFFFFF"/>
        <w:spacing w:after="0" w:line="240" w:lineRule="auto"/>
        <w:jc w:val="both"/>
        <w:rPr>
          <w:rFonts w:ascii="Times New Roman" w:hAnsi="Times New Roman" w:cs="Times New Roman"/>
          <w:b/>
          <w:sz w:val="20"/>
          <w:szCs w:val="20"/>
          <w:lang w:eastAsia="ja-JP"/>
        </w:rPr>
      </w:pPr>
    </w:p>
    <w:p w14:paraId="591001C4" w14:textId="4989A645" w:rsidR="00543D14" w:rsidRDefault="00EA1F71" w:rsidP="0099535A">
      <w:pPr>
        <w:shd w:val="clear" w:color="auto" w:fill="FFFFFF"/>
        <w:spacing w:after="0" w:line="240" w:lineRule="auto"/>
        <w:jc w:val="center"/>
        <w:rPr>
          <w:rFonts w:ascii="Times New Roman" w:hAnsi="Times New Roman" w:cs="Times New Roman"/>
          <w:b/>
          <w:sz w:val="20"/>
          <w:szCs w:val="20"/>
          <w:lang w:eastAsia="ja-JP"/>
        </w:rPr>
      </w:pPr>
      <w:r w:rsidRPr="00EA1F71">
        <w:rPr>
          <w:rFonts w:ascii="Times New Roman" w:hAnsi="Times New Roman" w:cs="Times New Roman"/>
          <w:b/>
          <w:sz w:val="20"/>
          <w:szCs w:val="20"/>
          <w:lang w:eastAsia="ja-JP"/>
        </w:rPr>
        <w:t>Tabel 4.10 Pengaruh Inflasi (INF) Per Negara</w:t>
      </w:r>
    </w:p>
    <w:p w14:paraId="3B20560E" w14:textId="107090C0" w:rsidR="00543D14" w:rsidRDefault="00EA1F71" w:rsidP="00F853B2">
      <w:pPr>
        <w:shd w:val="clear" w:color="auto" w:fill="FFFFFF"/>
        <w:spacing w:after="0" w:line="240" w:lineRule="auto"/>
        <w:jc w:val="both"/>
        <w:rPr>
          <w:rFonts w:ascii="Times New Roman" w:hAnsi="Times New Roman" w:cs="Times New Roman"/>
          <w:b/>
          <w:sz w:val="20"/>
          <w:szCs w:val="20"/>
          <w:lang w:eastAsia="ja-JP"/>
        </w:rPr>
      </w:pPr>
      <w:r>
        <w:rPr>
          <w:rFonts w:ascii="Times New Roman" w:hAnsi="Times New Roman" w:cs="Times New Roman"/>
          <w:b/>
          <w:noProof/>
          <w:sz w:val="20"/>
          <w:szCs w:val="20"/>
          <w:lang w:eastAsia="ja-JP"/>
        </w:rPr>
        <w:drawing>
          <wp:anchor distT="0" distB="0" distL="114300" distR="114300" simplePos="0" relativeHeight="251660800" behindDoc="0" locked="0" layoutInCell="1" allowOverlap="1" wp14:anchorId="52C5B2DC" wp14:editId="01E452D3">
            <wp:simplePos x="0" y="0"/>
            <wp:positionH relativeFrom="column">
              <wp:posOffset>0</wp:posOffset>
            </wp:positionH>
            <wp:positionV relativeFrom="paragraph">
              <wp:posOffset>35881</wp:posOffset>
            </wp:positionV>
            <wp:extent cx="2710150" cy="1130270"/>
            <wp:effectExtent l="0" t="0" r="0" b="635"/>
            <wp:wrapNone/>
            <wp:docPr id="866155075" name="Gambar 6" descr="Sebuah gambar berisi teks, nomor, Font, software&#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55075" name="Gambar 6" descr="Sebuah gambar berisi teks, nomor, Font, software&#10;&#10;Konten yang dihasilkan AI mungkin salah."/>
                    <pic:cNvPicPr/>
                  </pic:nvPicPr>
                  <pic:blipFill rotWithShape="1">
                    <a:blip r:embed="rId17" cstate="print">
                      <a:extLst>
                        <a:ext uri="{28A0092B-C50C-407E-A947-70E740481C1C}">
                          <a14:useLocalDpi xmlns:a14="http://schemas.microsoft.com/office/drawing/2010/main" val="0"/>
                        </a:ext>
                      </a:extLst>
                    </a:blip>
                    <a:srcRect l="5634" t="28231" r="3793" b="13683"/>
                    <a:stretch>
                      <a:fillRect/>
                    </a:stretch>
                  </pic:blipFill>
                  <pic:spPr bwMode="auto">
                    <a:xfrm>
                      <a:off x="0" y="0"/>
                      <a:ext cx="2710150" cy="1130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4D136" w14:textId="43FB080C"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74FE2877"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603ADA8A"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1743BAA0"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72FFEFFC" w14:textId="77777777" w:rsidR="00543D14" w:rsidRDefault="00543D14" w:rsidP="00F853B2">
      <w:pPr>
        <w:shd w:val="clear" w:color="auto" w:fill="FFFFFF"/>
        <w:spacing w:after="0" w:line="240" w:lineRule="auto"/>
        <w:jc w:val="both"/>
        <w:rPr>
          <w:rFonts w:ascii="Times New Roman" w:hAnsi="Times New Roman" w:cs="Times New Roman"/>
          <w:b/>
          <w:sz w:val="20"/>
          <w:szCs w:val="20"/>
          <w:lang w:eastAsia="ja-JP"/>
        </w:rPr>
      </w:pPr>
    </w:p>
    <w:p w14:paraId="21FECA01"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Sumber : Data Diolah dengan Eviews 13 (2026)</w:t>
      </w:r>
    </w:p>
    <w:p w14:paraId="46984222" w14:textId="77777777" w:rsidR="00EA1F71" w:rsidRPr="00EA1F71" w:rsidRDefault="00EA1F71" w:rsidP="00EA1F71">
      <w:pPr>
        <w:shd w:val="clear" w:color="auto" w:fill="FFFFFF"/>
        <w:spacing w:after="0" w:line="240" w:lineRule="auto"/>
        <w:jc w:val="both"/>
        <w:rPr>
          <w:rFonts w:ascii="Times New Roman" w:hAnsi="Times New Roman" w:cs="Times New Roman"/>
          <w:bCs/>
          <w:sz w:val="20"/>
          <w:szCs w:val="20"/>
          <w:lang w:eastAsia="ja-JP"/>
        </w:rPr>
      </w:pPr>
    </w:p>
    <w:p w14:paraId="5A2DEDEA"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Tabel 4.10 di atas, terlihat bahwa pengaruh keterbukaan perdagangan terhadap masuknya investasi asing menunjukkan variasi hasil yang sangat jelas antara satu negara dengan negara lainnya. Hubungan yang signifikan dengan arah koefisien negatif ditemukan pada negara Vietnam (-0,499; signifikan 5%), Thailand (-1,281; signifikan 5%), dan Malaysia (-1,293; signifikan 10%).</w:t>
      </w:r>
    </w:p>
    <w:p w14:paraId="2F0D0280"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Berdasarkan teori ekonomi, arah negatif yang signifikan ini menggambarkan fenomena investasi yang bersifat mencari pasar alternatif atau pengalihan basis produksi. Di negara manufaktur ekspor seperti Vietnam, Thailand, dan Malaysia, tingginya angka keterbukaan perdagangan yang diiringi oleh ketatnya persaingan barang impor di pasar lokal terkadang membuat investor asing lebih selektif atau menahan intensitas modal baru mereka. Investor di klaster ini sangat sensitif terhadap perubahan biaya ekspor-impor komponen bahan baku (seperti yang terekam pada tren Gambar 4.5), sehingga ketika aturan perdagangan internasional mengalami perubahan volatilitas, volume investasi baru akan mengalami penyesuaian yang cukup besar.</w:t>
      </w:r>
    </w:p>
    <w:p w14:paraId="2125AFD5"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Kondisi yang bertolak belakang terjadi pada kelompok negara Kamboja (0,601; signifikan 5%), Laos (0,445; signifikan 1%), dan Brunei Darussalam (4,272; signifikan 1%) yang mencatatkan pengaruh positif dan sangat signifikan. Hasil ini mendukung teori perdagangan internasional tradisional yang menyatakan bahwa pelonggaran tarif ekspor-impor merupakan faktor penarik modal asing yang sangat efektif bagi negara-negara berkembang. Di Kamboja dan Laos, kebijakan pemerintah dalam membuka diri terhadap pasar internasional terbukti menjadi syarat mutlak yang langsung dimanfaatkan oleh investor global untuk membangun basis industri perakitan baru yang murah. Sementara di Brunei Darussalam, nilai koefisien positif yang sangat besar ini menegaskan bahwa kegiatan investasi asing di sana memang sangat bergantung pada kelancaran arus perdagangan ekspor komoditas minyak dan gas bumi ke pasar global.</w:t>
      </w:r>
    </w:p>
    <w:p w14:paraId="3DD75539"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Di sisi lain, variabel ini terbukti tidak berpengaruh nyata di Indonesia (-0,156) dan Singapura (0,024). Bagi Singapura, tingkat keterbukaan perdagangan mereka memang sudah sangat tinggi dan stabil sejak lama, sehingga fluktuasi data tahunan tidak lagi mengubah tren masuknya investasi secara drastis. Bagi Indonesia, investasi asing di lapangan lebih banyak digerakkan oleh kebijakan hilirisasi sumber daya alam domestik dan besarnya pasar dalam negeri, bukan karena pengaruh naik-turunnya volume perdagangan luar negeri secara umum.</w:t>
      </w:r>
    </w:p>
    <w:p w14:paraId="08ED3331"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Perbedaan dampak yang saling bertolak belakang antarnegara ini menjelaskan mengapa variabel Keterbukaan Perdagangan menjadi kehilangan pengaruh signifikansinya ketika data dilebur dalam model gabungan tingkat ASEAN. </w:t>
      </w:r>
      <w:r w:rsidRPr="00EA1F71">
        <w:rPr>
          <w:rFonts w:ascii="Times New Roman" w:hAnsi="Times New Roman" w:cs="Times New Roman"/>
          <w:bCs/>
          <w:sz w:val="20"/>
          <w:szCs w:val="20"/>
          <w:lang w:eastAsia="ja-JP"/>
        </w:rPr>
        <w:lastRenderedPageBreak/>
        <w:t>Temuan dari analisis per negara ini sejalan dengan hasil riset dari Erika Bela Agustin et al. (2021) yang menunjukkan bahwa dampak dari keterbukaan pasar global tidak pernah seragam dan selalu bergantung pada kesiapan sektor industri domestik di negara tujuan. Hasil ini juga memperkuat argumen dari Moch Rizal Fadhlan et al. (2025) bahwa bagi investor asing jangka panjang, kepastian kelancaran rantai pasok lokal sering kali jauh lebih penting daripada sekadar angka persentase ekspor-impor di atas kertas. Pada akhirnya, sebagaimana disimpulkan oleh Purwono &amp; Hayati (2021), integrasi ekonomi ASEAN melalui keterbukaan pasar harus selalu diimbangi dengan kebijakan dalam negeri yang kuat agar aliran modal asing yang masuk dapat memberikan dampak positif bagi pertumbuhan ekonomi lokal di Asia Tenggara</w:t>
      </w:r>
    </w:p>
    <w:p w14:paraId="0ED19D38" w14:textId="1A351DC4" w:rsidR="00EA1F71" w:rsidRPr="0099535A"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Sintesis Hasil dan Ringkasan Pembahasan</w:t>
      </w:r>
    </w:p>
    <w:p w14:paraId="1A892C96"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Setelah kita melihat seluruh hasil pengujian dari tingkat regional sampai bedah kasus per negara, terlihat jelas bahwa aliran masuk modal asing (FDI) di sembilan negara ASEAN tidak digerakkan oleh satu faktor tunggal saja. Berdasarkan hasil pengujian simultan (Uji F), model penelitian kita terbukti sangat andal dengan nilai probabilitas F-statistic sebesar 0,000000 dan nilai Adjusted R-squared sebesar 33,44%. Angka ini menjadi bukti nyata di lapangan bahwa gabungan antara kebijakan stabilitas ekonomi makro dan ukuran pasar adalah motor penggerak utama yang menentukan lancar atau seretnya modal asing yang masuk ke kawasan Asia Tenggara.</w:t>
      </w:r>
    </w:p>
    <w:p w14:paraId="1B8035A9"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Satu hal penting yang berhasil terekam dalam model gabungan regional adalah kuatnya peran faktor ekonomi riil dibandingkan dengan urusan moneter. Variabel Pertumbuhan Ekonomi (GDP) menjadi satu-satunya faktor yang konsisten berpengaruh positif dan signifikan pada taraf 5%. Hasil ini membuktikan bahwa sebagian besar investor asing yang masuk ke regional ASEAN punya motif Market-Seeking atau mencari pasar. Investor lebih tertarik menaruh uangnya di negara yang ekonominya terus membesar karena menjanjikan daya beli masyarakat yang kuat dan menguntungkan. Sebaliknya, variabel moneter seperti Nilai Tukar (EXR) dan Inflasi (INF) justru kompak tidak signifikan pada model gabungan regional. Kondisi ini memberi tahu kita bahwa bagi investor jangka panjang yang berniat membangun pabrik atau usaha fisik di ASEAN, urusan naik-turunnya harga barang harian atau fluktuasi kurs tidak menjadi penghambat besar, asalkan pertumbuhan ekonomi riil di negara tujuan tetap berjalan sehat.</w:t>
      </w:r>
    </w:p>
    <w:p w14:paraId="20974C98"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Namun, cerita regional yang serba linier ini langsung pecah ketika kita melihat hasil analisis spasial di tingkat domestik masing-masing negara. Perbedaan reaksi investor di kelompok negara berkembang seperti Kamboja dan Laos, serta negara kaya minyak seperti Brunei Darussalam, jika </w:t>
      </w:r>
      <w:r w:rsidRPr="00EA1F71">
        <w:rPr>
          <w:rFonts w:ascii="Times New Roman" w:hAnsi="Times New Roman" w:cs="Times New Roman"/>
          <w:bCs/>
          <w:sz w:val="20"/>
          <w:szCs w:val="20"/>
          <w:lang w:eastAsia="ja-JP"/>
        </w:rPr>
        <w:t>dibandingkan dengan negara penggerak ekonomi utama seperti Indonesia, Singapura, Malaysia, dan Thailand, menegaskan bahwa rumus menarik investasi tidak bisa disamaratakan (one size fits all). Di lapangan, setiap negara punya titik peka yang berbeda-beda. Negara dengan basis manufaktur ekspor yang kuat seperti Vietnam, Thailand, dan Malaysia ternyata jauh lebih sensitif terhadap perubahan biaya produksi akibat inflasi lokal dan tingkat keterbukaan dagang dengan luar negeri. Sementara untuk negara berkembang seperti Laos, kehadiran investor asing justru sangat bergantung pada keseriusan pemerintah dalam membenahi kualitas aturan birokrasi dan pertumbuhan ekonomi awal demi membangun rasa percaya dari para pemilik modal.</w:t>
      </w:r>
    </w:p>
    <w:p w14:paraId="67621F89"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Secara keseluruhan, hasil rangkuman ini memberikan masukan kebijakan yang sangat kuat bagi pemerintah di negara-negara ASEAN. Untuk memenangkan persaingan memperebutkan modal global di masa depan, strategi yang dipakai tidak bisa lagi cuma mengandalkan umpan berupa insentif pajak jangka pendek yang gampang berubah. Otoritas di kawasan Asia Tenggara harus fokus pada pembenahan yang sifatnya mendasar, seperti menjaga agar pertumbuhan ekonomi nasional tidak mandek, memperkuat daya beli masyarakat di pasar dalam negeri, serta menjamin stabilitas keamanan modal jangka panjang yang bisa mendukung kelancaran rantai pasok barang di kawasan ASEAN secara berkelanjutan.</w:t>
      </w:r>
    </w:p>
    <w:p w14:paraId="3A60AD13" w14:textId="27635A57" w:rsidR="00EA1F71" w:rsidRPr="0099535A" w:rsidRDefault="00EA1F71" w:rsidP="00EA1F71">
      <w:pPr>
        <w:shd w:val="clear" w:color="auto" w:fill="FFFFFF"/>
        <w:spacing w:after="0" w:line="240" w:lineRule="auto"/>
        <w:jc w:val="both"/>
        <w:rPr>
          <w:rFonts w:ascii="Times New Roman" w:hAnsi="Times New Roman" w:cs="Times New Roman"/>
          <w:b/>
          <w:sz w:val="20"/>
          <w:szCs w:val="20"/>
          <w:lang w:eastAsia="ja-JP"/>
        </w:rPr>
      </w:pPr>
      <w:r w:rsidRPr="0099535A">
        <w:rPr>
          <w:rFonts w:ascii="Times New Roman" w:hAnsi="Times New Roman" w:cs="Times New Roman"/>
          <w:b/>
          <w:sz w:val="20"/>
          <w:szCs w:val="20"/>
          <w:lang w:eastAsia="ja-JP"/>
        </w:rPr>
        <w:t>Keterbatasan Penelitian</w:t>
      </w:r>
    </w:p>
    <w:p w14:paraId="29DC97BB"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Peneliti menyadari bahwa meskipun penelitian ini telah diupayakan secara maksimal guna memberikan hasil yang akurat mengenai determinan FDI di kawasan ASEAN, namun masih terdapat beberapa keterbatasan yang perlu diperhatikan dalam menginterpretasikan hasil temuan. Keterbatasan pertama berkaitan dengan cakupan variabel independen yang digunakan.                                         </w:t>
      </w:r>
    </w:p>
    <w:p w14:paraId="0EB5B502"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Penelitian ini difokuskan pada variabel ekonomi makro dan institusional utama (EXR,  GDP, INF, RQ, dan TRD), namun belum memasukkan faktor eksternal global yang lebih luas seperti perang dagang antarnegara maju, fluktuasi harga komoditas global secara spesifik, serta dampak ketidakpastian geopolitik yang secara empiris juga memiliki potensi untuk memengaruhi keputusan investor asing di tingkat regional.</w:t>
      </w:r>
    </w:p>
    <w:p w14:paraId="6BEDB98F"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Keterbatasan kedua terletak pada aspek ketersediaan data (Data Availability). Penggunaan data panel dari 9 negara anggota ASEAN selama periode 2000–2024 mengakibatkan adanya kondisi unbalanced panel pada beberapa variabel di negara tertentu (seperti Myanmar dan Laos) karena keterbatasan publikasi data resmi pada tahun-tahun awal pengamatan. </w:t>
      </w:r>
    </w:p>
    <w:p w14:paraId="19F486C2" w14:textId="77777777" w:rsidR="00EA1F71"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 xml:space="preserve">Hal ini berdampak pada sedikit berkurangnya jumlah observasi yang dapat diolah secara optimal. Selain itu, penggunaan indeks </w:t>
      </w:r>
      <w:r w:rsidRPr="00EA1F71">
        <w:rPr>
          <w:rFonts w:ascii="Times New Roman" w:hAnsi="Times New Roman" w:cs="Times New Roman"/>
          <w:bCs/>
          <w:sz w:val="20"/>
          <w:szCs w:val="20"/>
          <w:lang w:eastAsia="ja-JP"/>
        </w:rPr>
        <w:lastRenderedPageBreak/>
        <w:t>Regulatory Quality (RQ) dari World Governance Indicators (WGI) merupakan data tahunan yang bersifat persepsional, sehingga mungkin terdapat jeda waktu (time lag) antara reformasi kebijakan yang nyata dilakukan di lapangan dengan perubahan skor indeks yang dipublikasikan secara resmi.</w:t>
      </w:r>
    </w:p>
    <w:p w14:paraId="1595EE0E" w14:textId="54E271DA" w:rsidR="00543D14" w:rsidRPr="00EA1F71" w:rsidRDefault="00EA1F71" w:rsidP="0099535A">
      <w:pPr>
        <w:shd w:val="clear" w:color="auto" w:fill="FFFFFF"/>
        <w:spacing w:after="0" w:line="240" w:lineRule="auto"/>
        <w:ind w:firstLine="720"/>
        <w:jc w:val="both"/>
        <w:rPr>
          <w:rFonts w:ascii="Times New Roman" w:hAnsi="Times New Roman" w:cs="Times New Roman"/>
          <w:bCs/>
          <w:sz w:val="20"/>
          <w:szCs w:val="20"/>
          <w:lang w:eastAsia="ja-JP"/>
        </w:rPr>
      </w:pPr>
      <w:r w:rsidRPr="00EA1F71">
        <w:rPr>
          <w:rFonts w:ascii="Times New Roman" w:hAnsi="Times New Roman" w:cs="Times New Roman"/>
          <w:bCs/>
          <w:sz w:val="20"/>
          <w:szCs w:val="20"/>
          <w:lang w:eastAsia="ja-JP"/>
        </w:rPr>
        <w:t>Terakhir, penelitian ini menggunakan pendekatan analisis linier melalui model regresi data panel. Peneliti menyadari bahwa hubungan antar variabel ekonomi makro seringkali bersifat non-linier dan memiliki keterkaitan yang kompleks (endogenitas). Meskipun teknik slope dummy telah digunakan untuk menangkap heterogenitas antarnegara, namun dinamika perubahan struktural yang mendadak seperti krisis kesehatan global atau perubahan rezim politik di beberapa negara anggota ASEAN mungkin belum sepenuhnya tertangkap secara detail dalam model statistik yang bersifat general ini. Keterbatasan-keterbatasan ini diharapkan dapat menjadi ruang pengembangan bagi penelitian selanjutnya guna memperkaya khazanah keilmuan di bidang ekonomi internasional.</w:t>
      </w:r>
    </w:p>
    <w:p w14:paraId="419BD503" w14:textId="77777777" w:rsidR="00956C22" w:rsidRDefault="00956C22" w:rsidP="00F853B2">
      <w:pPr>
        <w:shd w:val="clear" w:color="auto" w:fill="FFFFFF"/>
        <w:spacing w:after="0" w:line="240" w:lineRule="auto"/>
        <w:jc w:val="both"/>
        <w:rPr>
          <w:rFonts w:ascii="Times New Roman" w:hAnsi="Times New Roman" w:cs="Times New Roman"/>
          <w:b/>
          <w:sz w:val="20"/>
          <w:szCs w:val="20"/>
          <w:lang w:eastAsia="ja-JP"/>
        </w:rPr>
      </w:pPr>
    </w:p>
    <w:p w14:paraId="7361CA97" w14:textId="3548B6DC" w:rsidR="00F853B2" w:rsidRPr="00F853B2" w:rsidRDefault="00F853B2"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Pr>
          <w:rFonts w:ascii="Times New Roman" w:hAnsi="Times New Roman" w:cs="Times New Roman"/>
          <w:b/>
          <w:sz w:val="20"/>
          <w:szCs w:val="20"/>
          <w:lang w:eastAsia="ja-JP"/>
        </w:rPr>
        <w:t>PENUTUP</w:t>
      </w:r>
    </w:p>
    <w:p w14:paraId="09A5ED7B" w14:textId="5D9C5B5B" w:rsidR="00F853B2" w:rsidRDefault="0099535A" w:rsidP="00F853B2">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99535A">
        <w:rPr>
          <w:rFonts w:ascii="Times New Roman" w:eastAsiaTheme="minorHAnsi" w:hAnsi="Times New Roman" w:cs="Times New Roman"/>
          <w:sz w:val="20"/>
          <w:szCs w:val="20"/>
          <w:lang w:val="id-ID" w:eastAsia="ja-JP"/>
        </w:rPr>
        <w:t>Berdasarkan hasil pengujian Fixed Effect Model (FEM) dan analisis slope dummy pada 9 negara ASEAN periode 2000–2024, ditemukan bahwa GDP berpengaruh positif dan signifikan terhadap FDI secara regional, menunjukkan bahwa kapasitas pasar menjadi daya tarik utama investasi asing, meskipun efeknya bervariasi antarnegara, dengan kecenderungan negatif pada negara manufaktur seperti Vietnam, Thailand, Malaysia, dan Filipina akibat meningkatnya biaya produksi. Inflasi secara umum tidak berpengaruh terhadap FDI di tingkat regional, namun menunjukkan pengaruh negatif signifikan di Vietnam dan Thailand, serta pengaruh positif signifikan di Laos dan Brunei yang terkait dengan aktivitas pembangunan dan proyek besar. Kualitas regulasi juga tidak berpengaruh secara regional, tetapi berdampak positif dan signifikan pada negara berkembang seperti Laos dan Kamboja, sementara tidak signifikan pada negara dengan institusi lebih matang seperti Indonesia dan Singapura. Sementara itu, keterbukaan perdagangan tidak berpengaruh secara regional, namun memberikan dampak berbeda antarnegara, yaitu positif pada Kamboja, Laos, dan Brunei, serta negatif pada negara industri utama akibat meningkatnya persaingan impor.</w:t>
      </w:r>
    </w:p>
    <w:p w14:paraId="5C993A8C" w14:textId="77777777" w:rsidR="0099535A" w:rsidRPr="00F853B2" w:rsidRDefault="0099535A" w:rsidP="00F853B2">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3D944D71" w14:textId="245DB97B" w:rsidR="00F853B2" w:rsidRDefault="00F853B2" w:rsidP="00B35F1A">
      <w:pPr>
        <w:shd w:val="clear" w:color="auto" w:fill="FFFFFF"/>
        <w:spacing w:after="0" w:line="240" w:lineRule="auto"/>
        <w:jc w:val="both"/>
        <w:rPr>
          <w:rFonts w:ascii="Times New Roman" w:hAnsi="Times New Roman" w:cs="Times New Roman"/>
          <w:b/>
          <w:sz w:val="20"/>
          <w:szCs w:val="20"/>
          <w:lang w:eastAsia="ja-JP"/>
        </w:rPr>
      </w:pPr>
      <w:r>
        <w:rPr>
          <w:rFonts w:ascii="Times New Roman" w:hAnsi="Times New Roman" w:cs="Times New Roman"/>
          <w:b/>
          <w:sz w:val="20"/>
          <w:szCs w:val="20"/>
          <w:lang w:eastAsia="ja-JP"/>
        </w:rPr>
        <w:t>DAFTAR PUSTAKA</w:t>
      </w:r>
    </w:p>
    <w:p w14:paraId="36A6427D" w14:textId="4B0B2F45" w:rsidR="000B3F03" w:rsidRPr="006509AC" w:rsidRDefault="000B3F03" w:rsidP="006509AC">
      <w:pPr>
        <w:pStyle w:val="TextBody"/>
        <w:ind w:left="709" w:hanging="709"/>
        <w:contextualSpacing/>
        <w:rPr>
          <w:rFonts w:eastAsiaTheme="minorHAnsi"/>
          <w:sz w:val="18"/>
          <w:lang w:val="id-ID" w:eastAsia="ja-JP"/>
        </w:rPr>
      </w:pPr>
    </w:p>
    <w:p w14:paraId="4D8DC84E" w14:textId="77777777" w:rsidR="006509AC" w:rsidRPr="006509AC" w:rsidRDefault="006509AC" w:rsidP="006509AC">
      <w:pPr>
        <w:pStyle w:val="pdq2pgselectionanchorcontainer"/>
        <w:spacing w:before="0" w:beforeAutospacing="0" w:after="0" w:afterAutospacing="0"/>
        <w:ind w:left="709" w:hanging="709"/>
        <w:contextualSpacing/>
        <w:jc w:val="both"/>
        <w:rPr>
          <w:color w:val="000000"/>
          <w:sz w:val="20"/>
        </w:rPr>
      </w:pPr>
      <w:r w:rsidRPr="006509AC">
        <w:rPr>
          <w:color w:val="000000"/>
          <w:sz w:val="20"/>
        </w:rPr>
        <w:t>Abdillah, K., Handoyo, R. D., &amp; Wasiaturrahma. (2020). The effect of control corruption, political stability, macroeconomic variables on Asian economic growth.</w:t>
      </w:r>
      <w:r w:rsidRPr="006509AC">
        <w:rPr>
          <w:rStyle w:val="apple-converted-space"/>
          <w:color w:val="000000"/>
          <w:sz w:val="20"/>
        </w:rPr>
        <w:t> </w:t>
      </w:r>
      <w:r w:rsidRPr="006509AC">
        <w:rPr>
          <w:rStyle w:val="Emphasis"/>
          <w:color w:val="000000"/>
          <w:sz w:val="20"/>
        </w:rPr>
        <w:t>Ekuilibrium: Jurnal Ilmiah Bidang Ilmu Ekonomi, 15</w:t>
      </w:r>
      <w:r w:rsidRPr="006509AC">
        <w:rPr>
          <w:color w:val="000000"/>
          <w:sz w:val="20"/>
        </w:rPr>
        <w:t>(2), 161–</w:t>
      </w:r>
      <w:r w:rsidRPr="006509AC">
        <w:rPr>
          <w:color w:val="000000"/>
          <w:sz w:val="20"/>
        </w:rPr>
        <w:t>169.</w:t>
      </w:r>
      <w:r w:rsidRPr="006509AC">
        <w:rPr>
          <w:rStyle w:val="apple-converted-space"/>
          <w:color w:val="000000"/>
          <w:sz w:val="20"/>
        </w:rPr>
        <w:t> </w:t>
      </w:r>
      <w:hyperlink r:id="rId18" w:tgtFrame="_new" w:history="1">
        <w:r w:rsidRPr="006509AC">
          <w:rPr>
            <w:rStyle w:val="Hyperlink"/>
            <w:sz w:val="20"/>
          </w:rPr>
          <w:t>https://doi.org/10.24269/ekuilibrium.v15i2.2678</w:t>
        </w:r>
      </w:hyperlink>
    </w:p>
    <w:p w14:paraId="534A26EF"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Alvarado, R., Iñiguez, M., &amp; Ponce, P. (2017). Foreign direct investment and economic growth in Latin America.</w:t>
      </w:r>
      <w:r w:rsidRPr="006509AC">
        <w:rPr>
          <w:rStyle w:val="apple-converted-space"/>
          <w:color w:val="000000"/>
          <w:sz w:val="20"/>
        </w:rPr>
        <w:t> </w:t>
      </w:r>
      <w:r w:rsidRPr="006509AC">
        <w:rPr>
          <w:rStyle w:val="Emphasis"/>
          <w:color w:val="000000"/>
          <w:sz w:val="20"/>
        </w:rPr>
        <w:t>Economic Analysis and Policy, 56</w:t>
      </w:r>
      <w:r w:rsidRPr="006509AC">
        <w:rPr>
          <w:color w:val="000000"/>
          <w:sz w:val="20"/>
        </w:rPr>
        <w:t>, 176–187.</w:t>
      </w:r>
      <w:r w:rsidRPr="006509AC">
        <w:rPr>
          <w:rStyle w:val="apple-converted-space"/>
          <w:color w:val="000000"/>
          <w:sz w:val="20"/>
        </w:rPr>
        <w:t> </w:t>
      </w:r>
      <w:hyperlink r:id="rId19" w:tgtFrame="_new" w:history="1">
        <w:r w:rsidRPr="006509AC">
          <w:rPr>
            <w:rStyle w:val="Hyperlink"/>
            <w:sz w:val="20"/>
          </w:rPr>
          <w:t>https://doi.org/10.1016/j.eap.2017.09.006</w:t>
        </w:r>
      </w:hyperlink>
    </w:p>
    <w:p w14:paraId="5EC48D6B"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Amelia, D., &amp; Sukadana, W. (2019). Analisis korelasi kualitas pemerintahan dan foreign direct investment di lima negara ASEAN.</w:t>
      </w:r>
      <w:r w:rsidRPr="006509AC">
        <w:rPr>
          <w:rStyle w:val="apple-converted-space"/>
          <w:color w:val="000000"/>
          <w:sz w:val="20"/>
        </w:rPr>
        <w:t> </w:t>
      </w:r>
      <w:r w:rsidRPr="006509AC">
        <w:rPr>
          <w:rStyle w:val="Emphasis"/>
          <w:color w:val="000000"/>
          <w:sz w:val="20"/>
        </w:rPr>
        <w:t>E-Journal Ekonomi Pembangunan Universitas Udayana, 8</w:t>
      </w:r>
      <w:r w:rsidRPr="006509AC">
        <w:rPr>
          <w:color w:val="000000"/>
          <w:sz w:val="20"/>
        </w:rPr>
        <w:t>(8), 1915–1946.</w:t>
      </w:r>
    </w:p>
    <w:p w14:paraId="35721F9B"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Anwar, C. J., Kuswantoro, &amp; Dewi, S. F. (2016). Faktor-faktor yang mempengaruhi foreign direct investment (FDI) di kawasan Asia Tenggara.</w:t>
      </w:r>
      <w:r w:rsidRPr="006509AC">
        <w:rPr>
          <w:rStyle w:val="apple-converted-space"/>
          <w:color w:val="000000"/>
          <w:sz w:val="20"/>
        </w:rPr>
        <w:t> </w:t>
      </w:r>
      <w:r w:rsidRPr="006509AC">
        <w:rPr>
          <w:rStyle w:val="Emphasis"/>
          <w:color w:val="000000"/>
          <w:sz w:val="20"/>
        </w:rPr>
        <w:t>Media Trend, 11</w:t>
      </w:r>
      <w:r w:rsidRPr="006509AC">
        <w:rPr>
          <w:color w:val="000000"/>
          <w:sz w:val="20"/>
        </w:rPr>
        <w:t>(2), 175–194.</w:t>
      </w:r>
      <w:r w:rsidRPr="006509AC">
        <w:rPr>
          <w:rStyle w:val="apple-converted-space"/>
          <w:color w:val="000000"/>
          <w:sz w:val="20"/>
        </w:rPr>
        <w:t> </w:t>
      </w:r>
      <w:hyperlink r:id="rId20" w:tgtFrame="_new" w:history="1">
        <w:r w:rsidRPr="006509AC">
          <w:rPr>
            <w:rStyle w:val="Hyperlink"/>
            <w:sz w:val="20"/>
          </w:rPr>
          <w:t>https://doi.org/10.21107/mediatrend.v11i2.1621</w:t>
        </w:r>
      </w:hyperlink>
    </w:p>
    <w:p w14:paraId="76336010"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Asghar, N., Qureshi, S., &amp; Nadeem, M. (2015). Institutional quality and economic growth: Panel ARDL analysis for selected developing economies of Asia.</w:t>
      </w:r>
      <w:r w:rsidRPr="006509AC">
        <w:rPr>
          <w:rStyle w:val="apple-converted-space"/>
          <w:color w:val="000000"/>
          <w:sz w:val="20"/>
        </w:rPr>
        <w:t> </w:t>
      </w:r>
      <w:r w:rsidRPr="006509AC">
        <w:rPr>
          <w:rStyle w:val="Emphasis"/>
          <w:color w:val="000000"/>
          <w:sz w:val="20"/>
        </w:rPr>
        <w:t>South Asian Studies, 30</w:t>
      </w:r>
      <w:r w:rsidRPr="006509AC">
        <w:rPr>
          <w:color w:val="000000"/>
          <w:sz w:val="20"/>
        </w:rPr>
        <w:t>(2), 381–404.</w:t>
      </w:r>
    </w:p>
    <w:p w14:paraId="2BF92F17"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Bayar, Y. (2016). Public governance and economic growth in the transitional economies of the European Union.</w:t>
      </w:r>
      <w:r w:rsidRPr="006509AC">
        <w:rPr>
          <w:rStyle w:val="apple-converted-space"/>
          <w:color w:val="000000"/>
          <w:sz w:val="20"/>
        </w:rPr>
        <w:t> </w:t>
      </w:r>
      <w:r w:rsidRPr="006509AC">
        <w:rPr>
          <w:rStyle w:val="Emphasis"/>
          <w:color w:val="000000"/>
          <w:sz w:val="20"/>
        </w:rPr>
        <w:t>Transylvanian Review of Administrative Sciences, 48</w:t>
      </w:r>
      <w:r w:rsidRPr="006509AC">
        <w:rPr>
          <w:color w:val="000000"/>
          <w:sz w:val="20"/>
        </w:rPr>
        <w:t>, 5–18.</w:t>
      </w:r>
    </w:p>
    <w:p w14:paraId="119040C7"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Bhattarai, K. (2016). FDI and growth.</w:t>
      </w:r>
      <w:r w:rsidRPr="006509AC">
        <w:rPr>
          <w:rStyle w:val="apple-converted-space"/>
          <w:color w:val="000000"/>
          <w:sz w:val="20"/>
        </w:rPr>
        <w:t> </w:t>
      </w:r>
      <w:r w:rsidRPr="006509AC">
        <w:rPr>
          <w:rStyle w:val="Emphasis"/>
          <w:color w:val="000000"/>
          <w:sz w:val="20"/>
        </w:rPr>
        <w:t>Advances in Management &amp; Applied Economics, 6</w:t>
      </w:r>
      <w:r w:rsidRPr="006509AC">
        <w:rPr>
          <w:color w:val="000000"/>
          <w:sz w:val="20"/>
        </w:rPr>
        <w:t>(2), 1–23.</w:t>
      </w:r>
    </w:p>
    <w:p w14:paraId="6611C757"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Carbonell, J. B., &amp; Werner, R. A. (2018). Does foreign direct investment generate economic growth? A new empirical approach applied to Spain.</w:t>
      </w:r>
      <w:r w:rsidRPr="006509AC">
        <w:rPr>
          <w:rStyle w:val="apple-converted-space"/>
          <w:color w:val="000000"/>
          <w:sz w:val="20"/>
        </w:rPr>
        <w:t> </w:t>
      </w:r>
      <w:r w:rsidRPr="006509AC">
        <w:rPr>
          <w:rStyle w:val="Emphasis"/>
          <w:color w:val="000000"/>
          <w:sz w:val="20"/>
        </w:rPr>
        <w:t>Economic Geography, 94</w:t>
      </w:r>
      <w:r w:rsidRPr="006509AC">
        <w:rPr>
          <w:color w:val="000000"/>
          <w:sz w:val="20"/>
        </w:rPr>
        <w:t>(4), 425–456.</w:t>
      </w:r>
      <w:r w:rsidRPr="006509AC">
        <w:rPr>
          <w:rStyle w:val="apple-converted-space"/>
          <w:color w:val="000000"/>
          <w:sz w:val="20"/>
        </w:rPr>
        <w:t> </w:t>
      </w:r>
      <w:hyperlink r:id="rId21" w:tgtFrame="_new" w:history="1">
        <w:r w:rsidRPr="006509AC">
          <w:rPr>
            <w:rStyle w:val="Hyperlink"/>
            <w:sz w:val="20"/>
          </w:rPr>
          <w:t>https://doi.org/10.1080/00130095.2017.1393312</w:t>
        </w:r>
      </w:hyperlink>
    </w:p>
    <w:p w14:paraId="53194586"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Dinh, T. T.-H., Vo, D. H., Vo, A. T., &amp; Nguyen, T. C. (2019). Foreign direct investment and economic growth in the short run and long run: Empirical evidence from developing countries.</w:t>
      </w:r>
      <w:r w:rsidRPr="006509AC">
        <w:rPr>
          <w:rStyle w:val="apple-converted-space"/>
          <w:color w:val="000000"/>
          <w:sz w:val="20"/>
        </w:rPr>
        <w:t> </w:t>
      </w:r>
      <w:r w:rsidRPr="006509AC">
        <w:rPr>
          <w:rStyle w:val="Emphasis"/>
          <w:color w:val="000000"/>
          <w:sz w:val="20"/>
        </w:rPr>
        <w:t>Journal of Risk and Financial Management, 12</w:t>
      </w:r>
      <w:r w:rsidRPr="006509AC">
        <w:rPr>
          <w:color w:val="000000"/>
          <w:sz w:val="20"/>
        </w:rPr>
        <w:t>(4), Article 176.</w:t>
      </w:r>
      <w:r w:rsidRPr="006509AC">
        <w:rPr>
          <w:rStyle w:val="apple-converted-space"/>
          <w:color w:val="000000"/>
          <w:sz w:val="20"/>
        </w:rPr>
        <w:t> </w:t>
      </w:r>
      <w:hyperlink r:id="rId22" w:tgtFrame="_new" w:history="1">
        <w:r w:rsidRPr="006509AC">
          <w:rPr>
            <w:rStyle w:val="Hyperlink"/>
            <w:sz w:val="20"/>
          </w:rPr>
          <w:t>https://doi.org/10.3390/jrfm12040176</w:t>
        </w:r>
      </w:hyperlink>
    </w:p>
    <w:p w14:paraId="0B8CF542"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Dumludag, D. (2009).</w:t>
      </w:r>
      <w:r w:rsidRPr="006509AC">
        <w:rPr>
          <w:rStyle w:val="apple-converted-space"/>
          <w:color w:val="000000"/>
          <w:sz w:val="20"/>
        </w:rPr>
        <w:t> </w:t>
      </w:r>
      <w:r w:rsidRPr="006509AC">
        <w:rPr>
          <w:rStyle w:val="Emphasis"/>
          <w:color w:val="000000"/>
          <w:sz w:val="20"/>
        </w:rPr>
        <w:t>Political institutions and foreign direct investment flows into developing countries</w:t>
      </w:r>
      <w:r w:rsidRPr="006509AC">
        <w:rPr>
          <w:rStyle w:val="apple-converted-space"/>
          <w:color w:val="000000"/>
          <w:sz w:val="20"/>
        </w:rPr>
        <w:t> </w:t>
      </w:r>
      <w:r w:rsidRPr="006509AC">
        <w:rPr>
          <w:color w:val="000000"/>
          <w:sz w:val="20"/>
        </w:rPr>
        <w:t>(MPRA Paper No. 27327).</w:t>
      </w:r>
    </w:p>
    <w:p w14:paraId="39A994B5"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Febriana, A., &amp; Muqorobbin, M. (2014). Investasi asing langsung di Indonesia dan faktor-faktor yang mempengaruhinya.</w:t>
      </w:r>
      <w:r w:rsidRPr="006509AC">
        <w:rPr>
          <w:rStyle w:val="apple-converted-space"/>
          <w:color w:val="000000"/>
          <w:sz w:val="20"/>
        </w:rPr>
        <w:t> </w:t>
      </w:r>
      <w:r w:rsidRPr="006509AC">
        <w:rPr>
          <w:rStyle w:val="Emphasis"/>
          <w:color w:val="000000"/>
          <w:sz w:val="20"/>
        </w:rPr>
        <w:t>Jurnal Ekonomi dan Studi Pembangunan, 15</w:t>
      </w:r>
      <w:r w:rsidRPr="006509AC">
        <w:rPr>
          <w:color w:val="000000"/>
          <w:sz w:val="20"/>
        </w:rPr>
        <w:t>(2), 109–117.</w:t>
      </w:r>
    </w:p>
    <w:p w14:paraId="39BAB248"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Felipe, J., Abdon, A., &amp; Kumar, U. (2012). Tracking the middle-income trap: What is it, who is in it, and why?</w:t>
      </w:r>
      <w:r w:rsidRPr="006509AC">
        <w:rPr>
          <w:rStyle w:val="apple-converted-space"/>
          <w:color w:val="000000"/>
          <w:sz w:val="20"/>
        </w:rPr>
        <w:t> </w:t>
      </w:r>
      <w:r w:rsidRPr="006509AC">
        <w:rPr>
          <w:rStyle w:val="Emphasis"/>
          <w:color w:val="000000"/>
          <w:sz w:val="20"/>
        </w:rPr>
        <w:t>SSRN Electronic Journal</w:t>
      </w:r>
      <w:r w:rsidRPr="006509AC">
        <w:rPr>
          <w:color w:val="000000"/>
          <w:sz w:val="20"/>
        </w:rPr>
        <w:t>.</w:t>
      </w:r>
      <w:r w:rsidRPr="006509AC">
        <w:rPr>
          <w:rStyle w:val="apple-converted-space"/>
          <w:color w:val="000000"/>
          <w:sz w:val="20"/>
        </w:rPr>
        <w:t> </w:t>
      </w:r>
      <w:hyperlink r:id="rId23" w:tgtFrame="_new" w:history="1">
        <w:r w:rsidRPr="006509AC">
          <w:rPr>
            <w:rStyle w:val="Hyperlink"/>
            <w:sz w:val="20"/>
          </w:rPr>
          <w:t>https://doi.org/10.2139/ssrn.2049330</w:t>
        </w:r>
      </w:hyperlink>
    </w:p>
    <w:p w14:paraId="4A56356B"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lastRenderedPageBreak/>
        <w:t>Ghozali, I. (2016).</w:t>
      </w:r>
      <w:r w:rsidRPr="006509AC">
        <w:rPr>
          <w:rStyle w:val="apple-converted-space"/>
          <w:color w:val="000000"/>
          <w:sz w:val="20"/>
        </w:rPr>
        <w:t> </w:t>
      </w:r>
      <w:r w:rsidRPr="006509AC">
        <w:rPr>
          <w:rStyle w:val="Emphasis"/>
          <w:color w:val="000000"/>
          <w:sz w:val="20"/>
        </w:rPr>
        <w:t>Aplikasi analisis multivariate dengan program IBM SPSS 23</w:t>
      </w:r>
      <w:r w:rsidRPr="006509AC">
        <w:rPr>
          <w:rStyle w:val="apple-converted-space"/>
          <w:color w:val="000000"/>
          <w:sz w:val="20"/>
        </w:rPr>
        <w:t> </w:t>
      </w:r>
      <w:r w:rsidRPr="006509AC">
        <w:rPr>
          <w:color w:val="000000"/>
          <w:sz w:val="20"/>
        </w:rPr>
        <w:t>(8th ed.). Badan Penerbit Universitas Diponegoro.</w:t>
      </w:r>
    </w:p>
    <w:p w14:paraId="684C2BBA"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Hardani, Auliya, N. H., Andriani, H., Fardani, R. A., Ustiawaty, J., Utami, E. F., Sukmana, D. J., &amp; Istiqomah, R. R. (2020).</w:t>
      </w:r>
      <w:r w:rsidRPr="006509AC">
        <w:rPr>
          <w:rStyle w:val="apple-converted-space"/>
          <w:color w:val="000000"/>
          <w:sz w:val="20"/>
        </w:rPr>
        <w:t> </w:t>
      </w:r>
      <w:r w:rsidRPr="006509AC">
        <w:rPr>
          <w:rStyle w:val="Emphasis"/>
          <w:color w:val="000000"/>
          <w:sz w:val="20"/>
        </w:rPr>
        <w:t>Metode penelitian kualitatif &amp; kuantitatif</w:t>
      </w:r>
      <w:r w:rsidRPr="006509AC">
        <w:rPr>
          <w:color w:val="000000"/>
          <w:sz w:val="20"/>
        </w:rPr>
        <w:t>. CV. Pustaka Ilmu Group.</w:t>
      </w:r>
    </w:p>
    <w:p w14:paraId="4D3660F3"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Hidayat, A. (2008). Integrasi ekonomi Asia: Solusi Asia menghadapi krisis global 2008.</w:t>
      </w:r>
      <w:r w:rsidRPr="006509AC">
        <w:rPr>
          <w:rStyle w:val="apple-converted-space"/>
          <w:color w:val="000000"/>
          <w:sz w:val="20"/>
        </w:rPr>
        <w:t> </w:t>
      </w:r>
      <w:r w:rsidRPr="006509AC">
        <w:rPr>
          <w:rStyle w:val="Emphasis"/>
          <w:color w:val="000000"/>
          <w:sz w:val="20"/>
        </w:rPr>
        <w:t>The Winners, 9</w:t>
      </w:r>
      <w:r w:rsidRPr="006509AC">
        <w:rPr>
          <w:color w:val="000000"/>
          <w:sz w:val="20"/>
        </w:rPr>
        <w:t>(2), 180–190.</w:t>
      </w:r>
      <w:r w:rsidRPr="006509AC">
        <w:rPr>
          <w:rStyle w:val="apple-converted-space"/>
          <w:color w:val="000000"/>
          <w:sz w:val="20"/>
        </w:rPr>
        <w:t> </w:t>
      </w:r>
      <w:hyperlink r:id="rId24" w:tgtFrame="_new" w:history="1">
        <w:r w:rsidRPr="006509AC">
          <w:rPr>
            <w:rStyle w:val="Hyperlink"/>
            <w:sz w:val="20"/>
          </w:rPr>
          <w:t>https://doi.org/10.21512/tw.v9i2.725</w:t>
        </w:r>
      </w:hyperlink>
    </w:p>
    <w:p w14:paraId="3A323713"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Jhingan, M. L. (2011).</w:t>
      </w:r>
      <w:r w:rsidRPr="006509AC">
        <w:rPr>
          <w:rStyle w:val="apple-converted-space"/>
          <w:color w:val="000000"/>
          <w:sz w:val="20"/>
        </w:rPr>
        <w:t> </w:t>
      </w:r>
      <w:r w:rsidRPr="006509AC">
        <w:rPr>
          <w:rStyle w:val="Emphasis"/>
          <w:color w:val="000000"/>
          <w:sz w:val="20"/>
        </w:rPr>
        <w:t>The economics of development and planning</w:t>
      </w:r>
      <w:r w:rsidRPr="006509AC">
        <w:rPr>
          <w:rStyle w:val="apple-converted-space"/>
          <w:color w:val="000000"/>
          <w:sz w:val="20"/>
        </w:rPr>
        <w:t> </w:t>
      </w:r>
      <w:r w:rsidRPr="006509AC">
        <w:rPr>
          <w:color w:val="000000"/>
          <w:sz w:val="20"/>
        </w:rPr>
        <w:t>(40th ed.). Vrinda Publications.</w:t>
      </w:r>
    </w:p>
    <w:p w14:paraId="3377A3DA"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Kaufmann, D., Kraay, A., &amp; Mastruzzi, M. (2011). The worldwide governance indicators: Methodology and analytical issues.</w:t>
      </w:r>
      <w:r w:rsidRPr="006509AC">
        <w:rPr>
          <w:rStyle w:val="apple-converted-space"/>
          <w:color w:val="000000"/>
          <w:sz w:val="20"/>
        </w:rPr>
        <w:t> </w:t>
      </w:r>
      <w:r w:rsidRPr="006509AC">
        <w:rPr>
          <w:rStyle w:val="Emphasis"/>
          <w:color w:val="000000"/>
          <w:sz w:val="20"/>
        </w:rPr>
        <w:t>Hague Journal on the Rule of Law, 3</w:t>
      </w:r>
      <w:r w:rsidRPr="006509AC">
        <w:rPr>
          <w:color w:val="000000"/>
          <w:sz w:val="20"/>
        </w:rPr>
        <w:t>(2), 220–246.</w:t>
      </w:r>
      <w:r w:rsidRPr="006509AC">
        <w:rPr>
          <w:rStyle w:val="apple-converted-space"/>
          <w:color w:val="000000"/>
          <w:sz w:val="20"/>
        </w:rPr>
        <w:t> </w:t>
      </w:r>
      <w:hyperlink r:id="rId25" w:tgtFrame="_new" w:history="1">
        <w:r w:rsidRPr="006509AC">
          <w:rPr>
            <w:rStyle w:val="Hyperlink"/>
            <w:sz w:val="20"/>
          </w:rPr>
          <w:t>https://doi.org/10.1017/S1876404511200046</w:t>
        </w:r>
      </w:hyperlink>
    </w:p>
    <w:p w14:paraId="0FD5B4C5"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Mankiw, N. G. (2010).</w:t>
      </w:r>
      <w:r w:rsidRPr="006509AC">
        <w:rPr>
          <w:rStyle w:val="apple-converted-space"/>
          <w:color w:val="000000"/>
          <w:sz w:val="20"/>
        </w:rPr>
        <w:t> </w:t>
      </w:r>
      <w:r w:rsidRPr="006509AC">
        <w:rPr>
          <w:rStyle w:val="Emphasis"/>
          <w:color w:val="000000"/>
          <w:sz w:val="20"/>
        </w:rPr>
        <w:t>Macroeconomics</w:t>
      </w:r>
      <w:r w:rsidRPr="006509AC">
        <w:rPr>
          <w:rStyle w:val="apple-converted-space"/>
          <w:color w:val="000000"/>
          <w:sz w:val="20"/>
        </w:rPr>
        <w:t> </w:t>
      </w:r>
      <w:r w:rsidRPr="006509AC">
        <w:rPr>
          <w:color w:val="000000"/>
          <w:sz w:val="20"/>
        </w:rPr>
        <w:t>(7th ed.). Worth Publishers.</w:t>
      </w:r>
    </w:p>
    <w:p w14:paraId="1484A37D"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Masron, T. A., &amp; Abdullah, H. (2010). Institutional quality as a determinant for FDI inflows: Evidence from ASEAN.</w:t>
      </w:r>
      <w:r w:rsidRPr="006509AC">
        <w:rPr>
          <w:rStyle w:val="apple-converted-space"/>
          <w:color w:val="000000"/>
          <w:sz w:val="20"/>
        </w:rPr>
        <w:t> </w:t>
      </w:r>
      <w:r w:rsidRPr="006509AC">
        <w:rPr>
          <w:rStyle w:val="Emphasis"/>
          <w:color w:val="000000"/>
          <w:sz w:val="20"/>
        </w:rPr>
        <w:t>World Journal of Management, 2</w:t>
      </w:r>
      <w:r w:rsidRPr="006509AC">
        <w:rPr>
          <w:color w:val="000000"/>
          <w:sz w:val="20"/>
        </w:rPr>
        <w:t>(3), 115–128.</w:t>
      </w:r>
    </w:p>
    <w:p w14:paraId="3F80B58C"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North, D. C. (1990).</w:t>
      </w:r>
      <w:r w:rsidRPr="006509AC">
        <w:rPr>
          <w:rStyle w:val="apple-converted-space"/>
          <w:color w:val="000000"/>
          <w:sz w:val="20"/>
        </w:rPr>
        <w:t> </w:t>
      </w:r>
      <w:r w:rsidRPr="006509AC">
        <w:rPr>
          <w:rStyle w:val="Emphasis"/>
          <w:color w:val="000000"/>
          <w:sz w:val="20"/>
        </w:rPr>
        <w:t>Institutions, institutional change and economic performance</w:t>
      </w:r>
      <w:r w:rsidRPr="006509AC">
        <w:rPr>
          <w:color w:val="000000"/>
          <w:sz w:val="20"/>
        </w:rPr>
        <w:t>. Cambridge University Press.</w:t>
      </w:r>
    </w:p>
    <w:p w14:paraId="47C18C1C"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Oktaviani, S., Aimon, H., &amp; Putri, D. Z. (2019). Analisis variabel moneter Amerika Serikat terhadap pertumbuhan ekonomi negara emerging market.</w:t>
      </w:r>
      <w:r w:rsidRPr="006509AC">
        <w:rPr>
          <w:rStyle w:val="apple-converted-space"/>
          <w:color w:val="000000"/>
          <w:sz w:val="20"/>
        </w:rPr>
        <w:t> </w:t>
      </w:r>
      <w:r w:rsidRPr="006509AC">
        <w:rPr>
          <w:rStyle w:val="Emphasis"/>
          <w:color w:val="000000"/>
          <w:sz w:val="20"/>
        </w:rPr>
        <w:t>Jurnal Kajian Ekonomi dan Pembangunan, 1</w:t>
      </w:r>
      <w:r w:rsidRPr="006509AC">
        <w:rPr>
          <w:color w:val="000000"/>
          <w:sz w:val="20"/>
        </w:rPr>
        <w:t>(2), 223–240.</w:t>
      </w:r>
    </w:p>
    <w:p w14:paraId="6728D640"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Priyajati, H. A., &amp; Haryanto, T. (2020). Hubungan logistik terhadap pertumbuhan ekonomi: Studi kasus 9 negara emerging.</w:t>
      </w:r>
      <w:r w:rsidRPr="006509AC">
        <w:rPr>
          <w:rStyle w:val="apple-converted-space"/>
          <w:color w:val="000000"/>
          <w:sz w:val="20"/>
        </w:rPr>
        <w:t> </w:t>
      </w:r>
      <w:r w:rsidRPr="006509AC">
        <w:rPr>
          <w:rStyle w:val="Emphasis"/>
          <w:color w:val="000000"/>
          <w:sz w:val="20"/>
        </w:rPr>
        <w:t>Media Trend, 15</w:t>
      </w:r>
      <w:r w:rsidRPr="006509AC">
        <w:rPr>
          <w:color w:val="000000"/>
          <w:sz w:val="20"/>
        </w:rPr>
        <w:t>(1), 133–146.</w:t>
      </w:r>
      <w:r w:rsidRPr="006509AC">
        <w:rPr>
          <w:rStyle w:val="apple-converted-space"/>
          <w:color w:val="000000"/>
          <w:sz w:val="20"/>
        </w:rPr>
        <w:t> </w:t>
      </w:r>
      <w:hyperlink r:id="rId26" w:tgtFrame="_new" w:history="1">
        <w:r w:rsidRPr="006509AC">
          <w:rPr>
            <w:rStyle w:val="Hyperlink"/>
            <w:sz w:val="20"/>
          </w:rPr>
          <w:t>https://doi.org/10.21107/mediatrend.v15i1.6637</w:t>
        </w:r>
      </w:hyperlink>
    </w:p>
    <w:p w14:paraId="24B04B6A"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Rodrik, D., &amp; Subramanian, A. (2003). The primacy of institutions (and what this does and does not mean).</w:t>
      </w:r>
      <w:r w:rsidRPr="006509AC">
        <w:rPr>
          <w:rStyle w:val="apple-converted-space"/>
          <w:color w:val="000000"/>
          <w:sz w:val="20"/>
        </w:rPr>
        <w:t> </w:t>
      </w:r>
      <w:r w:rsidRPr="006509AC">
        <w:rPr>
          <w:rStyle w:val="Emphasis"/>
          <w:color w:val="000000"/>
          <w:sz w:val="20"/>
        </w:rPr>
        <w:t>Finance &amp; Development, 40</w:t>
      </w:r>
      <w:r w:rsidRPr="006509AC">
        <w:rPr>
          <w:color w:val="000000"/>
          <w:sz w:val="20"/>
        </w:rPr>
        <w:t>(2), 31–34.</w:t>
      </w:r>
    </w:p>
    <w:p w14:paraId="1A49E625"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Sabir, S., Rafique, A., &amp; Abbas, K. (2019). Institutions and FDI: Evidence from developed and developing countries.</w:t>
      </w:r>
      <w:r w:rsidRPr="006509AC">
        <w:rPr>
          <w:rStyle w:val="apple-converted-space"/>
          <w:color w:val="000000"/>
          <w:sz w:val="20"/>
        </w:rPr>
        <w:t> </w:t>
      </w:r>
      <w:r w:rsidRPr="006509AC">
        <w:rPr>
          <w:rStyle w:val="Emphasis"/>
          <w:color w:val="000000"/>
          <w:sz w:val="20"/>
        </w:rPr>
        <w:t>Financial Innovation, 5</w:t>
      </w:r>
      <w:r w:rsidRPr="006509AC">
        <w:rPr>
          <w:color w:val="000000"/>
          <w:sz w:val="20"/>
        </w:rPr>
        <w:t>, Article 8.</w:t>
      </w:r>
      <w:r w:rsidRPr="006509AC">
        <w:rPr>
          <w:rStyle w:val="apple-converted-space"/>
          <w:color w:val="000000"/>
          <w:sz w:val="20"/>
        </w:rPr>
        <w:t> </w:t>
      </w:r>
      <w:hyperlink r:id="rId27" w:tgtFrame="_new" w:history="1">
        <w:r w:rsidRPr="006509AC">
          <w:rPr>
            <w:rStyle w:val="Hyperlink"/>
            <w:sz w:val="20"/>
          </w:rPr>
          <w:t>https://doi.org/10.1186/s40854-019-0123-7</w:t>
        </w:r>
      </w:hyperlink>
    </w:p>
    <w:p w14:paraId="200EDB9B"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Septiantoro, A. A., Hasanah, H., Alexandi, M. F., &amp; Nugraheni, S. R. W. (2020). Apakah kualitas institusi berpengaruh pada arus masuk FDI di ASEAN?</w:t>
      </w:r>
      <w:r w:rsidRPr="006509AC">
        <w:rPr>
          <w:rStyle w:val="apple-converted-space"/>
          <w:color w:val="000000"/>
          <w:sz w:val="20"/>
        </w:rPr>
        <w:t> </w:t>
      </w:r>
      <w:r w:rsidRPr="006509AC">
        <w:rPr>
          <w:rStyle w:val="Emphasis"/>
          <w:color w:val="000000"/>
          <w:sz w:val="20"/>
        </w:rPr>
        <w:t>Jurnal Ekonomi dan Pembangunan Indonesia, 20</w:t>
      </w:r>
      <w:r w:rsidRPr="006509AC">
        <w:rPr>
          <w:color w:val="000000"/>
          <w:sz w:val="20"/>
        </w:rPr>
        <w:t>(2), 146–159.</w:t>
      </w:r>
      <w:r w:rsidRPr="006509AC">
        <w:rPr>
          <w:rStyle w:val="apple-converted-space"/>
          <w:color w:val="000000"/>
          <w:sz w:val="20"/>
        </w:rPr>
        <w:t> </w:t>
      </w:r>
      <w:hyperlink r:id="rId28" w:tgtFrame="_new" w:history="1">
        <w:r w:rsidRPr="006509AC">
          <w:rPr>
            <w:rStyle w:val="Hyperlink"/>
            <w:sz w:val="20"/>
          </w:rPr>
          <w:t>https://doi.org/10.21002/jepi.v20i2.1132</w:t>
        </w:r>
      </w:hyperlink>
    </w:p>
    <w:p w14:paraId="750B8BB1"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 xml:space="preserve">Shumetie, A., &amp; Watabaji, M. D. (2019). Effect of corruption and political instability on </w:t>
      </w:r>
      <w:r w:rsidRPr="006509AC">
        <w:rPr>
          <w:color w:val="000000"/>
          <w:sz w:val="20"/>
        </w:rPr>
        <w:t>enterprises' innovativeness in Ethiopia: Pooled data based.</w:t>
      </w:r>
      <w:r w:rsidRPr="006509AC">
        <w:rPr>
          <w:rStyle w:val="apple-converted-space"/>
          <w:color w:val="000000"/>
          <w:sz w:val="20"/>
        </w:rPr>
        <w:t> </w:t>
      </w:r>
      <w:r w:rsidRPr="006509AC">
        <w:rPr>
          <w:rStyle w:val="Emphasis"/>
          <w:color w:val="000000"/>
          <w:sz w:val="20"/>
        </w:rPr>
        <w:t>Journal of Innovation and Entrepreneurship, 8</w:t>
      </w:r>
      <w:r w:rsidRPr="006509AC">
        <w:rPr>
          <w:color w:val="000000"/>
          <w:sz w:val="20"/>
        </w:rPr>
        <w:t>, Article 11.</w:t>
      </w:r>
      <w:r w:rsidRPr="006509AC">
        <w:rPr>
          <w:rStyle w:val="apple-converted-space"/>
          <w:color w:val="000000"/>
          <w:sz w:val="20"/>
        </w:rPr>
        <w:t> </w:t>
      </w:r>
      <w:hyperlink r:id="rId29" w:tgtFrame="_new" w:history="1">
        <w:r w:rsidRPr="006509AC">
          <w:rPr>
            <w:rStyle w:val="Hyperlink"/>
            <w:sz w:val="20"/>
          </w:rPr>
          <w:t>https://doi.org/10.1186/s13731-019-0107-x</w:t>
        </w:r>
      </w:hyperlink>
    </w:p>
    <w:p w14:paraId="56FB02F4"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 xml:space="preserve">Wibowo, E., &amp; Prasetya, F. (2013). Analisis </w:t>
      </w:r>
      <w:bookmarkStart w:id="4" w:name="_GoBack"/>
      <w:bookmarkEnd w:id="4"/>
      <w:r w:rsidRPr="006509AC">
        <w:rPr>
          <w:color w:val="000000"/>
          <w:sz w:val="20"/>
        </w:rPr>
        <w:t>pengaruh kualitas pemerintahan terhadap pertumbuhan ekonomi di ASEAN.</w:t>
      </w:r>
      <w:r w:rsidRPr="006509AC">
        <w:rPr>
          <w:rStyle w:val="apple-converted-space"/>
          <w:color w:val="000000"/>
          <w:sz w:val="20"/>
        </w:rPr>
        <w:t> </w:t>
      </w:r>
      <w:r w:rsidRPr="006509AC">
        <w:rPr>
          <w:rStyle w:val="Emphasis"/>
          <w:color w:val="000000"/>
          <w:sz w:val="20"/>
        </w:rPr>
        <w:t>Jurnal Ilmiah Mahasiswa FEB, 1</w:t>
      </w:r>
      <w:r w:rsidRPr="006509AC">
        <w:rPr>
          <w:color w:val="000000"/>
          <w:sz w:val="20"/>
        </w:rPr>
        <w:t>(2).</w:t>
      </w:r>
    </w:p>
    <w:p w14:paraId="76AD3C01"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Yuan, Y., Chen, Y., &amp; Wang, L. (2010). Size of government and FDI: An empirical analysis based on the panel data of 81 countries.</w:t>
      </w:r>
      <w:r w:rsidRPr="006509AC">
        <w:rPr>
          <w:rStyle w:val="apple-converted-space"/>
          <w:color w:val="000000"/>
          <w:sz w:val="20"/>
        </w:rPr>
        <w:t> </w:t>
      </w:r>
      <w:r w:rsidRPr="006509AC">
        <w:rPr>
          <w:rStyle w:val="Emphasis"/>
          <w:color w:val="000000"/>
          <w:sz w:val="20"/>
        </w:rPr>
        <w:t>Journal of Technology Management in China, 5</w:t>
      </w:r>
      <w:r w:rsidRPr="006509AC">
        <w:rPr>
          <w:color w:val="000000"/>
          <w:sz w:val="20"/>
        </w:rPr>
        <w:t>(2), 176–184.</w:t>
      </w:r>
      <w:r w:rsidRPr="006509AC">
        <w:rPr>
          <w:rStyle w:val="apple-converted-space"/>
          <w:color w:val="000000"/>
          <w:sz w:val="20"/>
        </w:rPr>
        <w:t> </w:t>
      </w:r>
      <w:hyperlink r:id="rId30" w:tgtFrame="_new" w:history="1">
        <w:r w:rsidRPr="006509AC">
          <w:rPr>
            <w:rStyle w:val="Hyperlink"/>
            <w:sz w:val="20"/>
          </w:rPr>
          <w:t>https://doi.org/10.1108/17468771011053180</w:t>
        </w:r>
      </w:hyperlink>
    </w:p>
    <w:p w14:paraId="6EE3EBBF" w14:textId="77777777" w:rsidR="006509AC" w:rsidRPr="006509AC" w:rsidRDefault="006509AC" w:rsidP="006509AC">
      <w:pPr>
        <w:pStyle w:val="NormalWeb"/>
        <w:spacing w:before="0" w:beforeAutospacing="0" w:after="0" w:afterAutospacing="0"/>
        <w:ind w:left="709" w:hanging="709"/>
        <w:contextualSpacing/>
        <w:jc w:val="both"/>
        <w:rPr>
          <w:color w:val="000000"/>
          <w:sz w:val="20"/>
        </w:rPr>
      </w:pPr>
      <w:r w:rsidRPr="006509AC">
        <w:rPr>
          <w:color w:val="000000"/>
          <w:sz w:val="20"/>
        </w:rPr>
        <w:t>Zahran, V. Z. Z. (2020). Pengaruh foreign direct investment dan ekspor terhadap pertumbuhan ekonomi Indonesia.</w:t>
      </w:r>
      <w:r w:rsidRPr="006509AC">
        <w:rPr>
          <w:rStyle w:val="apple-converted-space"/>
          <w:color w:val="000000"/>
          <w:sz w:val="20"/>
        </w:rPr>
        <w:t> </w:t>
      </w:r>
      <w:r w:rsidRPr="006509AC">
        <w:rPr>
          <w:rStyle w:val="Emphasis"/>
          <w:color w:val="000000"/>
          <w:sz w:val="20"/>
        </w:rPr>
        <w:t>Jurnal Ilmiah Mahasiswa FEB, 8</w:t>
      </w:r>
      <w:r w:rsidRPr="006509AC">
        <w:rPr>
          <w:color w:val="000000"/>
          <w:sz w:val="20"/>
        </w:rPr>
        <w:t>(1), 1–15.</w:t>
      </w:r>
    </w:p>
    <w:p w14:paraId="0721445C" w14:textId="77777777" w:rsidR="006509AC" w:rsidRPr="00F853B2" w:rsidRDefault="006509AC" w:rsidP="00F853B2">
      <w:pPr>
        <w:pStyle w:val="TextBody"/>
        <w:ind w:firstLine="0"/>
        <w:rPr>
          <w:rFonts w:eastAsiaTheme="minorHAnsi"/>
          <w:lang w:val="id-ID" w:eastAsia="ja-JP"/>
        </w:rPr>
      </w:pPr>
    </w:p>
    <w:sectPr w:rsidR="006509AC" w:rsidRPr="00F853B2" w:rsidSect="00E60751">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CA574" w14:textId="77777777" w:rsidR="0060497D" w:rsidRDefault="0060497D" w:rsidP="00856602">
      <w:pPr>
        <w:spacing w:after="0" w:line="240" w:lineRule="auto"/>
      </w:pPr>
      <w:r>
        <w:separator/>
      </w:r>
    </w:p>
  </w:endnote>
  <w:endnote w:type="continuationSeparator" w:id="0">
    <w:p w14:paraId="18E165AF" w14:textId="77777777" w:rsidR="0060497D" w:rsidRDefault="0060497D"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0261"/>
      <w:docPartObj>
        <w:docPartGallery w:val="Page Numbers (Bottom of Page)"/>
        <w:docPartUnique/>
      </w:docPartObj>
    </w:sdtPr>
    <w:sdtEndPr/>
    <w:sdtContent>
      <w:p w14:paraId="5B753F58" w14:textId="77777777" w:rsidR="00856602" w:rsidRDefault="008110D2" w:rsidP="00956C22">
        <w:pPr>
          <w:pStyle w:val="Footer"/>
          <w:jc w:val="center"/>
        </w:pPr>
        <w:r w:rsidRPr="00856602">
          <w:rPr>
            <w:rFonts w:ascii="Times New Roman" w:hAnsi="Times New Roman" w:cs="Times New Roman"/>
            <w:sz w:val="20"/>
            <w:szCs w:val="20"/>
          </w:rPr>
          <w:fldChar w:fldCharType="begin"/>
        </w:r>
        <w:r w:rsidR="00856602"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A4443C">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p w14:paraId="3C0BEC49" w14:textId="77777777" w:rsidR="00856602" w:rsidRDefault="00856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67C36" w14:textId="77777777" w:rsidR="0060497D" w:rsidRDefault="0060497D" w:rsidP="00856602">
      <w:pPr>
        <w:spacing w:after="0" w:line="240" w:lineRule="auto"/>
      </w:pPr>
      <w:r>
        <w:separator/>
      </w:r>
    </w:p>
  </w:footnote>
  <w:footnote w:type="continuationSeparator" w:id="0">
    <w:p w14:paraId="69C8CF03" w14:textId="77777777" w:rsidR="0060497D" w:rsidRDefault="0060497D"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97E9" w14:textId="68991CAC" w:rsidR="00956C22" w:rsidRPr="00956C22" w:rsidRDefault="00956C22" w:rsidP="00956C22">
    <w:pPr>
      <w:tabs>
        <w:tab w:val="left" w:pos="426"/>
        <w:tab w:val="left" w:pos="3544"/>
        <w:tab w:val="left" w:pos="4116"/>
      </w:tabs>
      <w:spacing w:after="0" w:line="240" w:lineRule="auto"/>
      <w:ind w:left="3544" w:hanging="3544"/>
      <w:contextualSpacing/>
      <w:jc w:val="right"/>
      <w:rPr>
        <w:rFonts w:ascii="Times New Roman" w:hAnsi="Times New Roman" w:cs="Times New Roman"/>
        <w:i/>
        <w:iCs/>
        <w:szCs w:val="20"/>
      </w:rPr>
    </w:pPr>
    <w:bookmarkStart w:id="0" w:name="_Hlk229043391"/>
    <w:bookmarkStart w:id="1" w:name="_Hlk229043392"/>
    <w:r w:rsidRPr="00956C22">
      <w:rPr>
        <w:rFonts w:ascii="Times New Roman" w:hAnsi="Times New Roman" w:cs="Times New Roman"/>
        <w:bCs/>
        <w:i/>
        <w:iCs/>
        <w:szCs w:val="18"/>
      </w:rPr>
      <w:t>2026. COSTING: Journal of Economic, Business and Accounting 9(3):</w:t>
    </w:r>
    <w:bookmarkEnd w:id="0"/>
    <w:bookmarkEnd w:id="1"/>
    <w:r w:rsidRPr="00956C22">
      <w:rPr>
        <w:rFonts w:ascii="Times New Roman" w:hAnsi="Times New Roman" w:cs="Times New Roman"/>
        <w:i/>
        <w:iCs/>
        <w:szCs w:val="20"/>
      </w:rPr>
      <w:t xml:space="preserve"> </w:t>
    </w:r>
    <w:r w:rsidR="0006134A">
      <w:rPr>
        <w:rFonts w:ascii="Times New Roman" w:hAnsi="Times New Roman" w:cs="Times New Roman"/>
        <w:i/>
        <w:iCs/>
        <w:szCs w:val="20"/>
      </w:rPr>
      <w:t>1366-1375</w:t>
    </w:r>
  </w:p>
  <w:p w14:paraId="0D15A615" w14:textId="77777777" w:rsidR="00956C22" w:rsidRPr="00956C22" w:rsidRDefault="00956C22" w:rsidP="00956C22">
    <w:pPr>
      <w:pStyle w:val="Header"/>
      <w:rPr>
        <w:rFonts w:ascii="Times New Roman" w:hAnsi="Times New Roman" w:cs="Times New Roman"/>
      </w:rPr>
    </w:pPr>
  </w:p>
  <w:p w14:paraId="0DDFD883" w14:textId="77777777" w:rsidR="00956C22" w:rsidRPr="00956C22" w:rsidRDefault="00956C22">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00B9" w14:textId="77777777" w:rsidR="00956C22" w:rsidRPr="00722DB2" w:rsidRDefault="00956C22" w:rsidP="00956C22">
    <w:pPr>
      <w:pStyle w:val="Header"/>
      <w:tabs>
        <w:tab w:val="left" w:pos="5933"/>
      </w:tabs>
      <w:ind w:left="282" w:hanging="282"/>
      <w:contextualSpacing/>
      <w:rPr>
        <w:rFonts w:ascii="Times New Roman" w:hAnsi="Times New Roman" w:cs="Times New Roman"/>
        <w:b/>
        <w:bCs/>
        <w:szCs w:val="20"/>
      </w:rPr>
    </w:pPr>
    <w:bookmarkStart w:id="2" w:name="_Hlk229043369"/>
    <w:bookmarkStart w:id="3" w:name="_Hlk229043370"/>
    <w:r w:rsidRPr="00722DB2">
      <w:rPr>
        <w:rFonts w:ascii="Times New Roman" w:hAnsi="Times New Roman" w:cs="Times New Roman"/>
        <w:noProof/>
        <w:szCs w:val="20"/>
      </w:rPr>
      <w:drawing>
        <wp:anchor distT="0" distB="0" distL="114300" distR="114300" simplePos="0" relativeHeight="251659264" behindDoc="1" locked="0" layoutInCell="1" allowOverlap="1" wp14:anchorId="054ADA3F" wp14:editId="23A36427">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0818705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2DB2">
      <w:rPr>
        <w:rFonts w:ascii="Times New Roman" w:hAnsi="Times New Roman" w:cs="Times New Roman"/>
        <w:b/>
        <w:bCs/>
        <w:szCs w:val="20"/>
      </w:rPr>
      <w:t>COSTING: Journal of Economic, Business and Accounting</w:t>
    </w:r>
  </w:p>
  <w:p w14:paraId="6833949E" w14:textId="77777777" w:rsidR="00956C22" w:rsidRPr="00722DB2" w:rsidRDefault="00956C22" w:rsidP="00956C22">
    <w:pPr>
      <w:tabs>
        <w:tab w:val="left" w:pos="3556"/>
        <w:tab w:val="left" w:pos="4060"/>
        <w:tab w:val="left" w:pos="4116"/>
        <w:tab w:val="left" w:pos="4299"/>
        <w:tab w:val="left" w:pos="4516"/>
        <w:tab w:val="center" w:pos="4680"/>
        <w:tab w:val="left" w:pos="5407"/>
        <w:tab w:val="left" w:pos="5885"/>
        <w:tab w:val="left" w:pos="6300"/>
        <w:tab w:val="left" w:pos="6390"/>
        <w:tab w:val="right" w:pos="9360"/>
      </w:tabs>
      <w:spacing w:after="0" w:line="240" w:lineRule="auto"/>
      <w:ind w:left="11" w:hanging="11"/>
      <w:contextualSpacing/>
      <w:rPr>
        <w:rFonts w:ascii="Times New Roman" w:hAnsi="Times New Roman" w:cs="Times New Roman"/>
        <w:b/>
        <w:bCs/>
        <w:szCs w:val="20"/>
        <w:lang w:val="it-IT"/>
      </w:rPr>
    </w:pPr>
    <w:r w:rsidRPr="00722DB2">
      <w:rPr>
        <w:rFonts w:ascii="Times New Roman" w:hAnsi="Times New Roman" w:cs="Times New Roman"/>
        <w:bCs/>
        <w:szCs w:val="20"/>
        <w:lang w:val="it-IT"/>
      </w:rPr>
      <w:t>Volume 9 Nomor 3, Tahun 2026</w:t>
    </w:r>
  </w:p>
  <w:p w14:paraId="1DD96251" w14:textId="77777777" w:rsidR="00956C22" w:rsidRPr="00FE0F3A" w:rsidRDefault="00956C22" w:rsidP="00956C22">
    <w:pPr>
      <w:tabs>
        <w:tab w:val="left" w:pos="5407"/>
      </w:tabs>
      <w:spacing w:after="0" w:line="240" w:lineRule="auto"/>
      <w:ind w:left="11" w:hanging="11"/>
      <w:contextualSpacing/>
      <w:rPr>
        <w:rFonts w:ascii="Times New Roman" w:hAnsi="Times New Roman" w:cs="Times New Roman"/>
        <w:bCs/>
        <w:szCs w:val="20"/>
        <w:lang w:val="it-IT"/>
      </w:rPr>
    </w:pPr>
    <w:r w:rsidRPr="00722DB2">
      <w:rPr>
        <w:rFonts w:ascii="Times New Roman" w:hAnsi="Times New Roman" w:cs="Times New Roman"/>
        <w:bCs/>
        <w:szCs w:val="20"/>
        <w:lang w:val="it-IT"/>
      </w:rPr>
      <w:t>e-ISSN : 2597-523</w:t>
    </w:r>
    <w:bookmarkEnd w:id="2"/>
    <w:bookmarkEnd w:id="3"/>
    <w:r w:rsidRPr="00722DB2">
      <w:rPr>
        <w:rFonts w:ascii="Times New Roman" w:hAnsi="Times New Roman" w:cs="Times New Roman"/>
        <w:bCs/>
        <w:szCs w:val="20"/>
        <w:lang w:val="it-IT"/>
      </w:rPr>
      <w:t>4</w:t>
    </w:r>
  </w:p>
  <w:p w14:paraId="6B57A3CA" w14:textId="77777777" w:rsidR="00956C22" w:rsidRDefault="00956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8"/>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6134A"/>
    <w:rsid w:val="000B3F03"/>
    <w:rsid w:val="000C50A0"/>
    <w:rsid w:val="00101891"/>
    <w:rsid w:val="00132790"/>
    <w:rsid w:val="001B08A0"/>
    <w:rsid w:val="001D1511"/>
    <w:rsid w:val="001D5947"/>
    <w:rsid w:val="002B2720"/>
    <w:rsid w:val="00362A78"/>
    <w:rsid w:val="003733FC"/>
    <w:rsid w:val="003B1FCA"/>
    <w:rsid w:val="004634FD"/>
    <w:rsid w:val="004E2C78"/>
    <w:rsid w:val="0050364D"/>
    <w:rsid w:val="00543D14"/>
    <w:rsid w:val="00593BF1"/>
    <w:rsid w:val="005F664D"/>
    <w:rsid w:val="0060497D"/>
    <w:rsid w:val="006109A0"/>
    <w:rsid w:val="006273D6"/>
    <w:rsid w:val="006509AC"/>
    <w:rsid w:val="00651809"/>
    <w:rsid w:val="006774A4"/>
    <w:rsid w:val="00692AB5"/>
    <w:rsid w:val="006B5D1A"/>
    <w:rsid w:val="006B767B"/>
    <w:rsid w:val="006F3F1D"/>
    <w:rsid w:val="00706C5D"/>
    <w:rsid w:val="00741346"/>
    <w:rsid w:val="007804A0"/>
    <w:rsid w:val="00797B7E"/>
    <w:rsid w:val="007A003A"/>
    <w:rsid w:val="007B009E"/>
    <w:rsid w:val="007D3625"/>
    <w:rsid w:val="007F221B"/>
    <w:rsid w:val="007F7EF7"/>
    <w:rsid w:val="008110D2"/>
    <w:rsid w:val="00847818"/>
    <w:rsid w:val="00847EFA"/>
    <w:rsid w:val="00856602"/>
    <w:rsid w:val="00862886"/>
    <w:rsid w:val="008859FB"/>
    <w:rsid w:val="008E504A"/>
    <w:rsid w:val="008F6AD6"/>
    <w:rsid w:val="009047F2"/>
    <w:rsid w:val="00956C22"/>
    <w:rsid w:val="00961020"/>
    <w:rsid w:val="00987341"/>
    <w:rsid w:val="00993DD4"/>
    <w:rsid w:val="0099535A"/>
    <w:rsid w:val="009965E2"/>
    <w:rsid w:val="00A06C71"/>
    <w:rsid w:val="00A06E42"/>
    <w:rsid w:val="00A4443C"/>
    <w:rsid w:val="00A53471"/>
    <w:rsid w:val="00AB23E9"/>
    <w:rsid w:val="00AC3E84"/>
    <w:rsid w:val="00AD0F06"/>
    <w:rsid w:val="00B35F1A"/>
    <w:rsid w:val="00B428C5"/>
    <w:rsid w:val="00B550BB"/>
    <w:rsid w:val="00B71822"/>
    <w:rsid w:val="00BE7D5E"/>
    <w:rsid w:val="00C17858"/>
    <w:rsid w:val="00C17FF2"/>
    <w:rsid w:val="00C75C1D"/>
    <w:rsid w:val="00CB6D60"/>
    <w:rsid w:val="00CF562D"/>
    <w:rsid w:val="00D1245C"/>
    <w:rsid w:val="00D76306"/>
    <w:rsid w:val="00DC2AE4"/>
    <w:rsid w:val="00E60751"/>
    <w:rsid w:val="00E74ED8"/>
    <w:rsid w:val="00E85E5E"/>
    <w:rsid w:val="00EA1F71"/>
    <w:rsid w:val="00EA77C3"/>
    <w:rsid w:val="00EB4C68"/>
    <w:rsid w:val="00ED788E"/>
    <w:rsid w:val="00EE3EC9"/>
    <w:rsid w:val="00F04C62"/>
    <w:rsid w:val="00F42F87"/>
    <w:rsid w:val="00F853B2"/>
    <w:rsid w:val="00FD323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20930"/>
  <w15:docId w15:val="{F88722A0-0C8E-004D-AD5E-252BBEAE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A1F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aliases w:val=" Char Cha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3Char">
    <w:name w:val="Heading 3 Char"/>
    <w:basedOn w:val="DefaultParagraphFont"/>
    <w:link w:val="Heading3"/>
    <w:uiPriority w:val="9"/>
    <w:semiHidden/>
    <w:rsid w:val="00EA1F71"/>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F04C62"/>
    <w:rPr>
      <w:color w:val="605E5C"/>
      <w:shd w:val="clear" w:color="auto" w:fill="E1DFDD"/>
    </w:rPr>
  </w:style>
  <w:style w:type="paragraph" w:customStyle="1" w:styleId="pdq2pgselectionanchorcontainer">
    <w:name w:val="pdq2pg_selectionanchorcontainer"/>
    <w:basedOn w:val="Normal"/>
    <w:rsid w:val="006509AC"/>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converted-space">
    <w:name w:val="apple-converted-space"/>
    <w:basedOn w:val="DefaultParagraphFont"/>
    <w:rsid w:val="0065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658924436">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idi@usu.ac.id" TargetMode="External"/><Relationship Id="rId13" Type="http://schemas.openxmlformats.org/officeDocument/2006/relationships/image" Target="media/image2.png"/><Relationship Id="rId18" Type="http://schemas.openxmlformats.org/officeDocument/2006/relationships/hyperlink" Target="https://doi.org/10.24269/ekuilibrium.v15i2.2678" TargetMode="External"/><Relationship Id="rId26" Type="http://schemas.openxmlformats.org/officeDocument/2006/relationships/hyperlink" Target="https://doi.org/10.21107/mediatrend.v15i1.6637" TargetMode="External"/><Relationship Id="rId3" Type="http://schemas.openxmlformats.org/officeDocument/2006/relationships/settings" Target="settings.xml"/><Relationship Id="rId21" Type="http://schemas.openxmlformats.org/officeDocument/2006/relationships/hyperlink" Target="https://doi.org/10.1080/00130095.2017.1393312" TargetMode="External"/><Relationship Id="rId7" Type="http://schemas.openxmlformats.org/officeDocument/2006/relationships/hyperlink" Target="mailto:rizkyazlinasiregar5@gmail.com" TargetMode="Externa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doi.org/10.1017/S1876404511200046"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21107/mediatrend.v11i2.1621" TargetMode="External"/><Relationship Id="rId29" Type="http://schemas.openxmlformats.org/officeDocument/2006/relationships/hyperlink" Target="https://doi.org/10.1186/s13731-019-0107-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doi.org/10.21512/tw.v9i2.72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2139/ssrn.2049330" TargetMode="External"/><Relationship Id="rId28" Type="http://schemas.openxmlformats.org/officeDocument/2006/relationships/hyperlink" Target="https://doi.org/10.21002/jepi.v20i2.1132" TargetMode="External"/><Relationship Id="rId10" Type="http://schemas.openxmlformats.org/officeDocument/2006/relationships/header" Target="header1.xml"/><Relationship Id="rId19" Type="http://schemas.openxmlformats.org/officeDocument/2006/relationships/hyperlink" Target="https://doi.org/10.1016/j.eap.2017.09.00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yafii@usu.ac.id" TargetMode="External"/><Relationship Id="rId14" Type="http://schemas.openxmlformats.org/officeDocument/2006/relationships/image" Target="media/image3.png"/><Relationship Id="rId22" Type="http://schemas.openxmlformats.org/officeDocument/2006/relationships/hyperlink" Target="https://doi.org/10.3390/jrfm12040176" TargetMode="External"/><Relationship Id="rId27" Type="http://schemas.openxmlformats.org/officeDocument/2006/relationships/hyperlink" Target="https://doi.org/10.1186/s40854-019-0123-7" TargetMode="External"/><Relationship Id="rId30" Type="http://schemas.openxmlformats.org/officeDocument/2006/relationships/hyperlink" Target="https://doi.org/10.1108/1746877101105318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7104</Words>
  <Characters>40499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5</cp:revision>
  <dcterms:created xsi:type="dcterms:W3CDTF">2026-06-19T11:00:00Z</dcterms:created>
  <dcterms:modified xsi:type="dcterms:W3CDTF">2026-07-03T12:48:00Z</dcterms:modified>
</cp:coreProperties>
</file>