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8031A" w14:textId="7D69138C" w:rsidR="00E030DB" w:rsidRPr="004E2B6D" w:rsidRDefault="00B01219" w:rsidP="00935D74">
      <w:pPr>
        <w:spacing w:after="0" w:line="240" w:lineRule="auto"/>
        <w:jc w:val="center"/>
        <w:rPr>
          <w:rFonts w:ascii="Times New Roman" w:hAnsi="Times New Roman" w:cs="Times New Roman"/>
          <w:b/>
          <w:sz w:val="24"/>
          <w:szCs w:val="24"/>
          <w:lang w:val="en-US"/>
        </w:rPr>
      </w:pPr>
      <w:bookmarkStart w:id="0" w:name="_GoBack"/>
      <w:bookmarkEnd w:id="0"/>
      <w:r w:rsidRPr="004E2B6D">
        <w:rPr>
          <w:rFonts w:ascii="Times New Roman" w:hAnsi="Times New Roman" w:cs="Times New Roman"/>
          <w:b/>
          <w:sz w:val="24"/>
          <w:szCs w:val="24"/>
          <w:lang w:val="en-US"/>
        </w:rPr>
        <w:t xml:space="preserve">FAKTOR-FAKTOR YANG BERHUBUNGAN TINGKAT KECEMASAN PASIEN PRE OPERASI </w:t>
      </w:r>
    </w:p>
    <w:p w14:paraId="38867FAD" w14:textId="77777777" w:rsidR="000E18F5" w:rsidRPr="004E2B6D" w:rsidRDefault="000E18F5" w:rsidP="00935D74">
      <w:pPr>
        <w:spacing w:after="0" w:line="240" w:lineRule="auto"/>
        <w:jc w:val="center"/>
        <w:rPr>
          <w:rFonts w:ascii="Times New Roman" w:hAnsi="Times New Roman" w:cs="Times New Roman"/>
          <w:b/>
          <w:sz w:val="24"/>
          <w:szCs w:val="24"/>
          <w:lang w:val="en-US"/>
        </w:rPr>
      </w:pPr>
    </w:p>
    <w:p w14:paraId="1A602F8F" w14:textId="405FC522" w:rsidR="00E030DB" w:rsidRPr="004E2B6D" w:rsidRDefault="00E030DB" w:rsidP="00935D74">
      <w:pPr>
        <w:spacing w:after="0" w:line="240" w:lineRule="auto"/>
        <w:jc w:val="center"/>
        <w:rPr>
          <w:rFonts w:ascii="Times New Roman" w:hAnsi="Times New Roman" w:cs="Times New Roman"/>
          <w:sz w:val="24"/>
          <w:szCs w:val="24"/>
          <w:vertAlign w:val="superscript"/>
        </w:rPr>
      </w:pPr>
      <w:r w:rsidRPr="004E2B6D">
        <w:rPr>
          <w:rFonts w:ascii="Times New Roman" w:hAnsi="Times New Roman" w:cs="Times New Roman"/>
          <w:sz w:val="24"/>
          <w:szCs w:val="24"/>
        </w:rPr>
        <w:t>Andan Peristika Didayana</w:t>
      </w:r>
      <w:r w:rsidR="00AB0696" w:rsidRPr="004E2B6D">
        <w:rPr>
          <w:rFonts w:ascii="Times New Roman" w:hAnsi="Times New Roman" w:cs="Times New Roman"/>
          <w:sz w:val="24"/>
          <w:szCs w:val="24"/>
          <w:vertAlign w:val="superscript"/>
        </w:rPr>
        <w:t>1</w:t>
      </w:r>
      <w:r w:rsidRPr="004E2B6D">
        <w:rPr>
          <w:rFonts w:ascii="Times New Roman" w:hAnsi="Times New Roman" w:cs="Times New Roman"/>
          <w:sz w:val="24"/>
          <w:szCs w:val="24"/>
        </w:rPr>
        <w:t xml:space="preserve">, </w:t>
      </w:r>
      <w:r w:rsidRPr="004E2B6D">
        <w:rPr>
          <w:rFonts w:ascii="Times New Roman" w:hAnsi="Times New Roman" w:cs="Times New Roman"/>
          <w:sz w:val="24"/>
          <w:szCs w:val="24"/>
          <w:lang w:val="id-ID"/>
        </w:rPr>
        <w:t>Ah. Yusuf</w:t>
      </w:r>
      <w:r w:rsidR="00AB0696" w:rsidRPr="004E2B6D">
        <w:rPr>
          <w:rFonts w:ascii="Times New Roman" w:hAnsi="Times New Roman" w:cs="Times New Roman"/>
          <w:sz w:val="24"/>
          <w:szCs w:val="24"/>
          <w:vertAlign w:val="superscript"/>
          <w:lang w:val="en-US"/>
        </w:rPr>
        <w:t>2</w:t>
      </w:r>
      <w:r w:rsidRPr="004E2B6D">
        <w:rPr>
          <w:rFonts w:ascii="Times New Roman" w:hAnsi="Times New Roman" w:cs="Times New Roman"/>
          <w:sz w:val="24"/>
          <w:szCs w:val="24"/>
          <w:lang w:val="en-US"/>
        </w:rPr>
        <w:t xml:space="preserve">, </w:t>
      </w:r>
      <w:r w:rsidRPr="004E2B6D">
        <w:rPr>
          <w:rFonts w:ascii="Times New Roman" w:hAnsi="Times New Roman" w:cs="Times New Roman"/>
          <w:sz w:val="24"/>
          <w:szCs w:val="24"/>
        </w:rPr>
        <w:t>Moch Bahrudin</w:t>
      </w:r>
      <w:r w:rsidR="00AB0696" w:rsidRPr="004E2B6D">
        <w:rPr>
          <w:rFonts w:ascii="Times New Roman" w:hAnsi="Times New Roman" w:cs="Times New Roman"/>
          <w:sz w:val="24"/>
          <w:szCs w:val="24"/>
          <w:vertAlign w:val="superscript"/>
        </w:rPr>
        <w:t>3</w:t>
      </w:r>
    </w:p>
    <w:p w14:paraId="770D4368" w14:textId="2E3FCC63" w:rsidR="00E030DB" w:rsidRPr="004E2B6D" w:rsidRDefault="002971DB" w:rsidP="00935D74">
      <w:pPr>
        <w:spacing w:after="0" w:line="240" w:lineRule="auto"/>
        <w:jc w:val="center"/>
        <w:rPr>
          <w:rFonts w:ascii="Times New Roman" w:hAnsi="Times New Roman" w:cs="Times New Roman"/>
          <w:sz w:val="24"/>
          <w:szCs w:val="24"/>
        </w:rPr>
      </w:pPr>
      <w:r w:rsidRPr="004E2B6D">
        <w:rPr>
          <w:rFonts w:ascii="Times New Roman" w:hAnsi="Times New Roman" w:cs="Times New Roman"/>
          <w:sz w:val="24"/>
          <w:szCs w:val="24"/>
        </w:rPr>
        <w:t>Universitas Airlangga</w:t>
      </w:r>
      <w:r w:rsidR="00AB0696" w:rsidRPr="004E2B6D">
        <w:rPr>
          <w:rFonts w:ascii="Times New Roman" w:hAnsi="Times New Roman" w:cs="Times New Roman"/>
          <w:sz w:val="24"/>
          <w:szCs w:val="24"/>
          <w:vertAlign w:val="superscript"/>
        </w:rPr>
        <w:t>1,2</w:t>
      </w:r>
    </w:p>
    <w:p w14:paraId="0B522194" w14:textId="0C32E854" w:rsidR="00A65B26" w:rsidRPr="004E2B6D" w:rsidRDefault="002971DB" w:rsidP="00935D74">
      <w:pPr>
        <w:spacing w:after="0" w:line="240" w:lineRule="auto"/>
        <w:jc w:val="center"/>
        <w:rPr>
          <w:rFonts w:ascii="Times New Roman" w:hAnsi="Times New Roman" w:cs="Times New Roman"/>
          <w:sz w:val="24"/>
          <w:szCs w:val="24"/>
        </w:rPr>
      </w:pPr>
      <w:r w:rsidRPr="004E2B6D">
        <w:rPr>
          <w:rFonts w:ascii="Times New Roman" w:hAnsi="Times New Roman" w:cs="Times New Roman"/>
          <w:sz w:val="24"/>
          <w:szCs w:val="24"/>
        </w:rPr>
        <w:t>Poltekes Kemenkes Surabaya</w:t>
      </w:r>
      <w:r w:rsidR="00AB0696" w:rsidRPr="004E2B6D">
        <w:rPr>
          <w:rFonts w:ascii="Times New Roman" w:hAnsi="Times New Roman" w:cs="Times New Roman"/>
          <w:sz w:val="24"/>
          <w:szCs w:val="24"/>
          <w:vertAlign w:val="superscript"/>
        </w:rPr>
        <w:t>3</w:t>
      </w:r>
    </w:p>
    <w:p w14:paraId="3326AA76" w14:textId="32405E49" w:rsidR="00AB0696" w:rsidRPr="004E2B6D" w:rsidRDefault="00AB0696" w:rsidP="00935D74">
      <w:pPr>
        <w:spacing w:after="0" w:line="240" w:lineRule="auto"/>
        <w:jc w:val="center"/>
        <w:rPr>
          <w:rFonts w:ascii="Times New Roman" w:hAnsi="Times New Roman" w:cs="Times New Roman"/>
          <w:sz w:val="24"/>
          <w:szCs w:val="24"/>
          <w:lang w:val="en-US"/>
        </w:rPr>
      </w:pPr>
      <w:r w:rsidRPr="004E2B6D">
        <w:rPr>
          <w:rFonts w:ascii="Times New Roman" w:hAnsi="Times New Roman" w:cs="Times New Roman"/>
          <w:sz w:val="24"/>
          <w:szCs w:val="24"/>
          <w:lang w:val="en-US"/>
        </w:rPr>
        <w:t>andan.peristika.didayana-2020@fkp.unair.ac.id</w:t>
      </w:r>
    </w:p>
    <w:p w14:paraId="4B6F89D1" w14:textId="77777777" w:rsidR="001F4789" w:rsidRPr="004E2B6D" w:rsidRDefault="001F4789" w:rsidP="00935D74">
      <w:pPr>
        <w:spacing w:line="240" w:lineRule="auto"/>
        <w:jc w:val="center"/>
        <w:rPr>
          <w:rFonts w:ascii="Times New Roman" w:hAnsi="Times New Roman" w:cs="Times New Roman"/>
          <w:b/>
          <w:bCs/>
          <w:sz w:val="24"/>
          <w:szCs w:val="24"/>
        </w:rPr>
      </w:pPr>
    </w:p>
    <w:p w14:paraId="70353316" w14:textId="1E6CB52F" w:rsidR="001F4789" w:rsidRPr="004E2B6D" w:rsidRDefault="001F4789" w:rsidP="00C62E3C">
      <w:pPr>
        <w:spacing w:after="0" w:line="240" w:lineRule="auto"/>
        <w:jc w:val="center"/>
        <w:rPr>
          <w:rFonts w:ascii="Times New Roman" w:hAnsi="Times New Roman" w:cs="Times New Roman"/>
          <w:b/>
          <w:bCs/>
          <w:sz w:val="24"/>
          <w:szCs w:val="24"/>
        </w:rPr>
      </w:pPr>
      <w:r w:rsidRPr="004E2B6D">
        <w:rPr>
          <w:rFonts w:ascii="Times New Roman" w:hAnsi="Times New Roman" w:cs="Times New Roman"/>
          <w:b/>
          <w:bCs/>
          <w:sz w:val="24"/>
          <w:szCs w:val="24"/>
        </w:rPr>
        <w:t>ABSTRAK</w:t>
      </w:r>
    </w:p>
    <w:p w14:paraId="5C32DF1E" w14:textId="77777777" w:rsidR="00C62E3C" w:rsidRPr="004E2B6D" w:rsidRDefault="00C62E3C" w:rsidP="00C62E3C">
      <w:pPr>
        <w:spacing w:after="0" w:line="240" w:lineRule="auto"/>
        <w:jc w:val="center"/>
        <w:rPr>
          <w:rFonts w:ascii="Times New Roman" w:hAnsi="Times New Roman" w:cs="Times New Roman"/>
          <w:b/>
          <w:bCs/>
          <w:sz w:val="24"/>
          <w:szCs w:val="24"/>
        </w:rPr>
      </w:pPr>
    </w:p>
    <w:p w14:paraId="43F5C508" w14:textId="4F86E560" w:rsidR="001F4789" w:rsidRPr="004E2B6D" w:rsidRDefault="001F4789" w:rsidP="00C62E3C">
      <w:pPr>
        <w:spacing w:after="0" w:line="240" w:lineRule="auto"/>
        <w:jc w:val="both"/>
        <w:rPr>
          <w:rFonts w:ascii="Times New Roman" w:hAnsi="Times New Roman" w:cs="Times New Roman"/>
          <w:sz w:val="24"/>
          <w:szCs w:val="24"/>
        </w:rPr>
      </w:pPr>
      <w:r w:rsidRPr="004E2B6D">
        <w:rPr>
          <w:rFonts w:ascii="Times New Roman" w:hAnsi="Times New Roman" w:cs="Times New Roman"/>
          <w:sz w:val="24"/>
          <w:szCs w:val="24"/>
        </w:rPr>
        <w:t xml:space="preserve">Penelitian ini bertujuan untuk mengetahui faktor yang berhubungan dengan kecemasan pasien pre operasi. Metode yang digunakan yaitu desain deskriptif korelasi dengan pendekatan </w:t>
      </w:r>
      <w:r w:rsidRPr="004E2B6D">
        <w:rPr>
          <w:rFonts w:ascii="Times New Roman" w:hAnsi="Times New Roman" w:cs="Times New Roman"/>
          <w:i/>
          <w:iCs/>
          <w:sz w:val="24"/>
          <w:szCs w:val="24"/>
        </w:rPr>
        <w:t>cross sectional</w:t>
      </w:r>
      <w:r w:rsidRPr="004E2B6D">
        <w:rPr>
          <w:rFonts w:ascii="Times New Roman" w:hAnsi="Times New Roman" w:cs="Times New Roman"/>
          <w:sz w:val="24"/>
          <w:szCs w:val="24"/>
        </w:rPr>
        <w:t xml:space="preserve">. Hasil penelitian menunjukkan </w:t>
      </w:r>
      <w:r w:rsidR="00615EFA" w:rsidRPr="004E2B6D">
        <w:rPr>
          <w:rFonts w:ascii="Times New Roman" w:hAnsi="Times New Roman" w:cs="Times New Roman"/>
          <w:sz w:val="24"/>
          <w:szCs w:val="24"/>
        </w:rPr>
        <w:t xml:space="preserve">bahwa </w:t>
      </w:r>
      <w:r w:rsidR="009D77FB" w:rsidRPr="004E2B6D">
        <w:rPr>
          <w:rFonts w:ascii="Times New Roman" w:hAnsi="Times New Roman" w:cs="Times New Roman"/>
          <w:sz w:val="24"/>
          <w:szCs w:val="24"/>
        </w:rPr>
        <w:t xml:space="preserve">tidak adanya hubungan yang signifikan yang dilihat dari faktor usia (p=0,917), jenis kelamin (p=0,366), pendidikan (p=495), pekerjaan (p=945), dan frekuensi operasi (p=262). Hal tersebut dikarenakan </w:t>
      </w:r>
      <w:r w:rsidR="009D77FB" w:rsidRPr="004E2B6D">
        <w:rPr>
          <w:rFonts w:ascii="Times New Roman" w:hAnsi="Times New Roman" w:cs="Times New Roman"/>
          <w:sz w:val="24"/>
          <w:szCs w:val="24"/>
          <w:lang w:val="en-US"/>
        </w:rPr>
        <w:t>kecemasan merupakan respon diri pasien dalam menanggapi kemungkinan yang akan terjadi apabila dilakukan tindakan operasi.</w:t>
      </w:r>
      <w:r w:rsidR="009D77FB" w:rsidRPr="004E2B6D">
        <w:rPr>
          <w:rFonts w:ascii="Times New Roman" w:hAnsi="Times New Roman" w:cs="Times New Roman"/>
          <w:b/>
          <w:sz w:val="24"/>
          <w:szCs w:val="24"/>
          <w:lang w:val="en-US"/>
        </w:rPr>
        <w:t xml:space="preserve"> </w:t>
      </w:r>
      <w:r w:rsidR="009D77FB" w:rsidRPr="004E2B6D">
        <w:rPr>
          <w:rFonts w:ascii="Times New Roman" w:hAnsi="Times New Roman" w:cs="Times New Roman"/>
          <w:sz w:val="24"/>
          <w:szCs w:val="24"/>
          <w:lang w:val="en-US"/>
        </w:rPr>
        <w:t>Sehingga untuk</w:t>
      </w:r>
      <w:r w:rsidR="009D77FB" w:rsidRPr="004E2B6D">
        <w:rPr>
          <w:rFonts w:ascii="Times New Roman" w:hAnsi="Times New Roman" w:cs="Times New Roman"/>
          <w:sz w:val="24"/>
          <w:szCs w:val="24"/>
        </w:rPr>
        <w:t xml:space="preserve"> meningkatkan kualitas pelayanan keperawatan dan efektivitas </w:t>
      </w:r>
      <w:r w:rsidR="009D77FB" w:rsidRPr="004E2B6D">
        <w:rPr>
          <w:rFonts w:ascii="Times New Roman" w:hAnsi="Times New Roman" w:cs="Times New Roman"/>
          <w:sz w:val="24"/>
          <w:szCs w:val="24"/>
          <w:lang w:val="en-US"/>
        </w:rPr>
        <w:t>pemberian</w:t>
      </w:r>
      <w:r w:rsidR="009D77FB" w:rsidRPr="004E2B6D">
        <w:rPr>
          <w:rFonts w:ascii="Times New Roman" w:hAnsi="Times New Roman" w:cs="Times New Roman"/>
          <w:sz w:val="24"/>
          <w:szCs w:val="24"/>
        </w:rPr>
        <w:t xml:space="preserve"> asuhan keperawatan </w:t>
      </w:r>
      <w:r w:rsidR="009D77FB" w:rsidRPr="004E2B6D">
        <w:rPr>
          <w:rFonts w:ascii="Times New Roman" w:hAnsi="Times New Roman" w:cs="Times New Roman"/>
          <w:sz w:val="24"/>
          <w:szCs w:val="24"/>
          <w:lang w:val="en-US"/>
        </w:rPr>
        <w:t>terhadap</w:t>
      </w:r>
      <w:r w:rsidR="009D77FB" w:rsidRPr="004E2B6D">
        <w:rPr>
          <w:rFonts w:ascii="Times New Roman" w:hAnsi="Times New Roman" w:cs="Times New Roman"/>
          <w:sz w:val="24"/>
          <w:szCs w:val="24"/>
        </w:rPr>
        <w:t xml:space="preserve"> pasien </w:t>
      </w:r>
      <w:r w:rsidR="009D77FB" w:rsidRPr="004E2B6D">
        <w:rPr>
          <w:rFonts w:ascii="Times New Roman" w:hAnsi="Times New Roman" w:cs="Times New Roman"/>
          <w:sz w:val="24"/>
          <w:szCs w:val="24"/>
          <w:lang w:val="en-US"/>
        </w:rPr>
        <w:t>yang akan menjalani</w:t>
      </w:r>
      <w:r w:rsidR="009D77FB" w:rsidRPr="004E2B6D">
        <w:rPr>
          <w:rFonts w:ascii="Times New Roman" w:hAnsi="Times New Roman" w:cs="Times New Roman"/>
          <w:sz w:val="24"/>
          <w:szCs w:val="24"/>
        </w:rPr>
        <w:t xml:space="preserve"> operasi dengan cara memberikan pendidikan dan informasi kesehatan</w:t>
      </w:r>
      <w:r w:rsidR="009D77FB" w:rsidRPr="004E2B6D">
        <w:rPr>
          <w:rFonts w:ascii="Times New Roman" w:hAnsi="Times New Roman" w:cs="Times New Roman"/>
          <w:sz w:val="24"/>
          <w:szCs w:val="24"/>
          <w:lang w:val="en-US"/>
        </w:rPr>
        <w:t>.</w:t>
      </w:r>
      <w:r w:rsidR="00F42F33" w:rsidRPr="004E2B6D">
        <w:rPr>
          <w:rFonts w:ascii="Times New Roman" w:hAnsi="Times New Roman" w:cs="Times New Roman"/>
          <w:sz w:val="24"/>
          <w:szCs w:val="24"/>
          <w:lang w:val="en-US"/>
        </w:rPr>
        <w:t xml:space="preserve"> </w:t>
      </w:r>
      <w:r w:rsidR="00615EFA" w:rsidRPr="004E2B6D">
        <w:rPr>
          <w:rFonts w:ascii="Times New Roman" w:hAnsi="Times New Roman" w:cs="Times New Roman"/>
          <w:sz w:val="24"/>
          <w:szCs w:val="24"/>
          <w:lang w:val="en-US"/>
        </w:rPr>
        <w:t>Simpulan,</w:t>
      </w:r>
      <w:r w:rsidR="00793D5F" w:rsidRPr="004E2B6D">
        <w:rPr>
          <w:rFonts w:ascii="Times New Roman" w:hAnsi="Times New Roman" w:cs="Times New Roman"/>
          <w:sz w:val="24"/>
          <w:szCs w:val="24"/>
          <w:lang w:val="en-US"/>
        </w:rPr>
        <w:t xml:space="preserve"> s</w:t>
      </w:r>
      <w:r w:rsidR="00F42F33" w:rsidRPr="004E2B6D">
        <w:rPr>
          <w:rFonts w:ascii="Times New Roman" w:hAnsi="Times New Roman" w:cs="Times New Roman"/>
          <w:sz w:val="24"/>
          <w:szCs w:val="24"/>
          <w:lang w:val="en-US"/>
        </w:rPr>
        <w:t>emua pasien yang akan menjalani operasi memiliki tingkat kecemasan yang berbeda dan tidak dapat dihubungkan dengan karakteristik pasien. Hal tersebut dikarenakan kecemasan merupakan respon diri pasien dalam menanggapi kemungkinan yang akan terjadi apabila dilakukan tindakan operasi.</w:t>
      </w:r>
    </w:p>
    <w:p w14:paraId="16E5A5E6" w14:textId="77777777" w:rsidR="00935D74" w:rsidRPr="004E2B6D" w:rsidRDefault="00935D74" w:rsidP="00C62E3C">
      <w:pPr>
        <w:spacing w:after="0" w:line="240" w:lineRule="auto"/>
        <w:rPr>
          <w:rFonts w:ascii="Times New Roman" w:hAnsi="Times New Roman" w:cs="Times New Roman"/>
          <w:sz w:val="24"/>
          <w:szCs w:val="24"/>
        </w:rPr>
      </w:pPr>
    </w:p>
    <w:p w14:paraId="4694AF6E" w14:textId="2D0E4123" w:rsidR="001F4789" w:rsidRPr="004E2B6D" w:rsidRDefault="00935D74" w:rsidP="00C62E3C">
      <w:pPr>
        <w:spacing w:after="0" w:line="240" w:lineRule="auto"/>
        <w:rPr>
          <w:rFonts w:ascii="Times New Roman" w:hAnsi="Times New Roman" w:cs="Times New Roman"/>
          <w:sz w:val="24"/>
          <w:szCs w:val="24"/>
        </w:rPr>
      </w:pPr>
      <w:r w:rsidRPr="004E2B6D">
        <w:rPr>
          <w:rFonts w:ascii="Times New Roman" w:hAnsi="Times New Roman" w:cs="Times New Roman"/>
          <w:sz w:val="24"/>
          <w:szCs w:val="24"/>
        </w:rPr>
        <w:t>Kata Kunci</w:t>
      </w:r>
      <w:r w:rsidR="001F4789" w:rsidRPr="004E2B6D">
        <w:rPr>
          <w:rFonts w:ascii="Times New Roman" w:hAnsi="Times New Roman" w:cs="Times New Roman"/>
          <w:sz w:val="24"/>
          <w:szCs w:val="24"/>
        </w:rPr>
        <w:t xml:space="preserve">: </w:t>
      </w:r>
      <w:r w:rsidR="009D77FB" w:rsidRPr="004E2B6D">
        <w:rPr>
          <w:rFonts w:ascii="Times New Roman" w:hAnsi="Times New Roman" w:cs="Times New Roman"/>
          <w:sz w:val="24"/>
          <w:szCs w:val="24"/>
        </w:rPr>
        <w:t>Frekuensi Operasi, Kecemasan, Operasi, Pasien, Pre Operasi</w:t>
      </w:r>
    </w:p>
    <w:p w14:paraId="073C6462" w14:textId="77777777" w:rsidR="00C62E3C" w:rsidRPr="004E2B6D" w:rsidRDefault="00C62E3C" w:rsidP="00C62E3C">
      <w:pPr>
        <w:spacing w:after="0" w:line="240" w:lineRule="auto"/>
        <w:rPr>
          <w:rFonts w:ascii="Times New Roman" w:hAnsi="Times New Roman" w:cs="Times New Roman"/>
          <w:sz w:val="24"/>
          <w:szCs w:val="24"/>
        </w:rPr>
      </w:pPr>
    </w:p>
    <w:p w14:paraId="511ADB89" w14:textId="77777777" w:rsidR="001F4789" w:rsidRPr="004E2B6D" w:rsidRDefault="001F4789" w:rsidP="00C62E3C">
      <w:pPr>
        <w:spacing w:after="0" w:line="240" w:lineRule="auto"/>
        <w:jc w:val="center"/>
        <w:rPr>
          <w:rFonts w:ascii="Times New Roman" w:hAnsi="Times New Roman" w:cs="Times New Roman"/>
          <w:b/>
          <w:bCs/>
          <w:i/>
          <w:sz w:val="24"/>
          <w:szCs w:val="24"/>
        </w:rPr>
      </w:pPr>
      <w:r w:rsidRPr="004E2B6D">
        <w:rPr>
          <w:rFonts w:ascii="Times New Roman" w:hAnsi="Times New Roman" w:cs="Times New Roman"/>
          <w:b/>
          <w:bCs/>
          <w:i/>
          <w:sz w:val="24"/>
          <w:szCs w:val="24"/>
        </w:rPr>
        <w:t>ABSTRACT</w:t>
      </w:r>
    </w:p>
    <w:p w14:paraId="1DD32A52" w14:textId="77777777" w:rsidR="00935D74" w:rsidRPr="004E2B6D" w:rsidRDefault="00935D74" w:rsidP="00935D74">
      <w:pPr>
        <w:spacing w:after="0" w:line="240" w:lineRule="auto"/>
        <w:jc w:val="center"/>
        <w:rPr>
          <w:rFonts w:ascii="Times New Roman" w:hAnsi="Times New Roman" w:cs="Times New Roman"/>
          <w:b/>
          <w:bCs/>
          <w:i/>
          <w:sz w:val="24"/>
          <w:szCs w:val="24"/>
        </w:rPr>
      </w:pPr>
    </w:p>
    <w:p w14:paraId="79F45D30" w14:textId="77777777" w:rsidR="004D66B8" w:rsidRPr="004E2B6D" w:rsidRDefault="004D66B8" w:rsidP="004D66B8">
      <w:pPr>
        <w:spacing w:after="0" w:line="240" w:lineRule="auto"/>
        <w:jc w:val="both"/>
        <w:rPr>
          <w:rFonts w:ascii="Times New Roman" w:eastAsia="Times New Roman" w:hAnsi="Times New Roman" w:cs="Times New Roman"/>
          <w:i/>
          <w:lang w:val="id-ID" w:eastAsia="id-ID"/>
        </w:rPr>
      </w:pPr>
      <w:r w:rsidRPr="004E2B6D">
        <w:rPr>
          <w:rFonts w:ascii="Times New Roman" w:eastAsia="Times New Roman" w:hAnsi="Times New Roman" w:cs="Times New Roman"/>
          <w:i/>
          <w:lang w:val="id-ID" w:eastAsia="id-ID"/>
        </w:rPr>
        <w:t>This study aims to determine the factors associated with preoperative patient anxiety. The method used is a correlation descriptive design with a cross-sectional approach. The results showed that there was no significant relationship in terms of age (p=0.917), gender (p=0.366), education (p=495), occupation (p=945), and frequency of operations (p=262). This is because anxiety is the patient's self-response in response to the possibility that will occur if surgery is performed to improve the quality of nursing services and the effectiveness of providing nursing care to patients who will undergo surgery by providing education and health information. In conclusion, all patients undergoing surgery have different anxiety levels, which cannot be related to the patient's characteristics. This is because anxiety is the patient's self-response in response to the possibility that will occur if surgery is performed.</w:t>
      </w:r>
    </w:p>
    <w:p w14:paraId="2EA7F8FE" w14:textId="77777777" w:rsidR="004D66B8" w:rsidRPr="004E2B6D" w:rsidRDefault="004D66B8" w:rsidP="004D66B8">
      <w:pPr>
        <w:spacing w:after="0" w:line="240" w:lineRule="auto"/>
        <w:jc w:val="both"/>
        <w:rPr>
          <w:rFonts w:ascii="Times New Roman" w:eastAsia="Times New Roman" w:hAnsi="Times New Roman" w:cs="Times New Roman"/>
          <w:i/>
          <w:lang w:val="id-ID" w:eastAsia="id-ID"/>
        </w:rPr>
      </w:pPr>
    </w:p>
    <w:p w14:paraId="17A62BB3" w14:textId="361531EB" w:rsidR="0089399E" w:rsidRPr="004E2B6D" w:rsidRDefault="004D66B8" w:rsidP="004D66B8">
      <w:pPr>
        <w:spacing w:after="0" w:line="240" w:lineRule="auto"/>
        <w:jc w:val="both"/>
        <w:rPr>
          <w:rFonts w:ascii="Times New Roman" w:eastAsia="Times New Roman" w:hAnsi="Times New Roman" w:cs="Times New Roman"/>
          <w:i/>
          <w:lang w:val="en-US" w:eastAsia="id-ID"/>
        </w:rPr>
      </w:pPr>
      <w:r w:rsidRPr="004E2B6D">
        <w:rPr>
          <w:rFonts w:ascii="Times New Roman" w:eastAsia="Times New Roman" w:hAnsi="Times New Roman" w:cs="Times New Roman"/>
          <w:i/>
          <w:lang w:val="id-ID" w:eastAsia="id-ID"/>
        </w:rPr>
        <w:t>Keywords: Frequency of Operations, Anxiety, Operations, Patients, Pre Operations</w:t>
      </w:r>
      <w:r w:rsidR="00F42F33" w:rsidRPr="004E2B6D">
        <w:rPr>
          <w:rFonts w:ascii="Times New Roman" w:eastAsia="Times New Roman" w:hAnsi="Times New Roman" w:cs="Times New Roman"/>
          <w:i/>
          <w:lang w:val="en-US" w:eastAsia="id-ID"/>
        </w:rPr>
        <w:t xml:space="preserve"> </w:t>
      </w:r>
    </w:p>
    <w:p w14:paraId="51B181C5" w14:textId="77777777" w:rsidR="004D66B8" w:rsidRPr="004E2B6D" w:rsidRDefault="004D66B8" w:rsidP="004D66B8">
      <w:pPr>
        <w:spacing w:after="0" w:line="240" w:lineRule="auto"/>
        <w:jc w:val="both"/>
        <w:rPr>
          <w:rFonts w:ascii="Times New Roman" w:eastAsia="Times New Roman" w:hAnsi="Times New Roman" w:cs="Times New Roman"/>
          <w:lang w:val="en-US" w:eastAsia="id-ID"/>
        </w:rPr>
      </w:pPr>
    </w:p>
    <w:p w14:paraId="636914B1" w14:textId="383E8643" w:rsidR="00A65B26" w:rsidRPr="004E2B6D" w:rsidRDefault="00A65B26" w:rsidP="004D66B8">
      <w:pPr>
        <w:spacing w:after="0" w:line="240" w:lineRule="auto"/>
        <w:jc w:val="both"/>
        <w:rPr>
          <w:rFonts w:ascii="Times New Roman" w:hAnsi="Times New Roman" w:cs="Times New Roman"/>
          <w:b/>
          <w:sz w:val="24"/>
          <w:szCs w:val="24"/>
        </w:rPr>
      </w:pPr>
      <w:r w:rsidRPr="004E2B6D">
        <w:rPr>
          <w:rFonts w:ascii="Times New Roman" w:hAnsi="Times New Roman" w:cs="Times New Roman"/>
          <w:b/>
          <w:sz w:val="24"/>
          <w:szCs w:val="24"/>
        </w:rPr>
        <w:t>PENDAHULUAN</w:t>
      </w:r>
    </w:p>
    <w:p w14:paraId="3E0A6614" w14:textId="0E1B9590" w:rsidR="00533D81" w:rsidRPr="004E2B6D" w:rsidRDefault="00533D81" w:rsidP="004D66B8">
      <w:pPr>
        <w:spacing w:after="0" w:line="240" w:lineRule="auto"/>
        <w:ind w:firstLine="567"/>
        <w:jc w:val="both"/>
        <w:rPr>
          <w:rFonts w:ascii="Times New Roman" w:eastAsia="Times New Roman" w:hAnsi="Times New Roman" w:cs="Times New Roman"/>
          <w:sz w:val="24"/>
          <w:szCs w:val="24"/>
        </w:rPr>
      </w:pPr>
      <w:r w:rsidRPr="004E2B6D">
        <w:rPr>
          <w:rFonts w:ascii="Times New Roman" w:eastAsia="Times New Roman" w:hAnsi="Times New Roman" w:cs="Times New Roman"/>
          <w:sz w:val="24"/>
          <w:szCs w:val="24"/>
        </w:rPr>
        <w:t xml:space="preserve">Kecemasan menjadi kondisi wajar yang pernah dialami oleh setiap </w:t>
      </w:r>
      <w:r w:rsidRPr="004E2B6D">
        <w:rPr>
          <w:rFonts w:ascii="Times New Roman" w:eastAsia="Times New Roman" w:hAnsi="Times New Roman" w:cs="Times New Roman"/>
          <w:sz w:val="24"/>
          <w:szCs w:val="24"/>
        </w:rPr>
        <w:br/>
        <w:t xml:space="preserve">manusia apabila merasa ketakutan atau kehilangan kepercayaan diri efek </w:t>
      </w:r>
      <w:r w:rsidRPr="004E2B6D">
        <w:rPr>
          <w:rFonts w:ascii="Times New Roman" w:eastAsia="Times New Roman" w:hAnsi="Times New Roman" w:cs="Times New Roman"/>
          <w:sz w:val="24"/>
          <w:szCs w:val="24"/>
        </w:rPr>
        <w:br/>
        <w:t>dari stresor yang berasal dari dalam dirinya sendiri maupun lingkungannya</w:t>
      </w:r>
      <w:r w:rsidR="000E18F5" w:rsidRPr="004E2B6D">
        <w:rPr>
          <w:rFonts w:ascii="Times New Roman" w:eastAsia="Times New Roman" w:hAnsi="Times New Roman" w:cs="Times New Roman"/>
          <w:sz w:val="24"/>
          <w:szCs w:val="24"/>
        </w:rPr>
        <w:t xml:space="preserve"> </w:t>
      </w:r>
      <w:r w:rsidR="000E18F5" w:rsidRPr="004E2B6D">
        <w:rPr>
          <w:rFonts w:ascii="Times New Roman" w:eastAsia="Times New Roman" w:hAnsi="Times New Roman" w:cs="Times New Roman"/>
          <w:sz w:val="24"/>
          <w:szCs w:val="24"/>
        </w:rPr>
        <w:fldChar w:fldCharType="begin" w:fldLock="1"/>
      </w:r>
      <w:r w:rsidR="008A4F3A" w:rsidRPr="004E2B6D">
        <w:rPr>
          <w:rFonts w:ascii="Times New Roman" w:eastAsia="Times New Roman" w:hAnsi="Times New Roman" w:cs="Times New Roman"/>
          <w:sz w:val="24"/>
          <w:szCs w:val="24"/>
        </w:rPr>
        <w:instrText>ADDIN CSL_CITATION {"citationItems":[{"id":"ITEM-1","itemData":{"DOI":"10.26714/hnca.v1i1.8263","abstract":"Tindakan operasi sectio caesareadilakukan untuk mencegah kematian janin dan ibu karena adanya suatu komplikasi yang akan terjadi kemudian bila persalinan dilakukan secara pervaginam, sehingga dapat menyebabkan kecemasan pada pasien yang dapat menghambat proses penyembuhan post operasi. Berbagai macam cara dilakukan untuk mengatasi kecemasan pre operasi, diantaranya adalah terapi Murotal dan edukasi pre operasi.studi kasus ini bertujuan  untuk mengetahui penurunan tingkat kecemasan pada pasien sectio caesareadengan penerapan terapi murotal dan edukasi pre operasi. Studi kasus ini menggunakan metode deskriptif dengan pendekatan proses asuhan keperawatan. Subjek studi kasus ini adalah pasien primigravida tanpa komplikasi penyakit  yang akan dilakukan sectio caesarea. Subjek studi kasus berjumlah 3 orang yang didapatkan secara random. Subjek studi kasus telah menandatangani informed consent sebelum dilakukan pengambilan data. Pengukuran kecemasan dilakukan dengan menggunakanThe Amsterdam Preoperative Anxiety and Information Scale (APAIS)sebelum dan sesudah dilakukan terapi murotal dan edukasi prosedur operasi pada ketiga pasien selama 30 menit. Hasil studi kasus menunjukkan ada penurunan kecemasan secara signifikan dari ketiga kasus dengan nilai rerata 8.33. Terapi murotal dan edukasi pre operasi terbukti efektif menurunkan kecemasan pada pasien preoperasi sectio caesarea","author":[{"dropping-particle":"","family":"Fatmawati","given":"Laili","non-dropping-particle":"","parse-names":false,"suffix":""},{"dropping-particle":"","family":"Pawestri","given":"Pawestri","non-dropping-particle":"","parse-names":false,"suffix":""}],"container-title":"Holistic Nursing Care Approach","id":"ITEM-1","issue":"1","issued":{"date-parts":[["2021"]]},"page":"25","title":"Penurunan Tingkat Kecemasan pada Pasien Pre Operasi Sectio Caesarea dengan Terapi Murotal dan Edukasi Pre Operasi","type":"article-journal","volume":"1"},"uris":["http://www.mendeley.com/documents/?uuid=4eadd837-d40a-4a08-87d1-17d413bdbbef"]},{"id":"ITEM-2","itemData":{"DOI":"10.1016/j.explore.2020.11.012","ISSN":"18787541","PMID":"33293201","abstract":"Background and Objective: Infectious disease outbreaks pose psychological challenges to the general population, and especially to healthcare workers. Nurses who work with COVID-19 patients are particularly vulnerable to emotions such as fear and anxiety, due to fatigue, discomfort, and helplessness related to their high intensity work. This study aims to investigate the efficacy of a brief online form of Emotional Freedom Techniques (EFT) in the prevention of stress, anxiety, and burnout in nurses involved in the treatment of COVID patients. Methods: The study is a randomized controlled trial. It complies with the guidelines prescribed by the Consolidated Standards of Reporting Trials (CONSORT) checklist. It was conducted in a COVID-19 department at a university hospital in Turkey. We recruited nurses who care for patients infected with COVID-19 and randomly allocated them into an intervention group (n = 35) and a no-treatment control group (n = 37). The intervention group received one guided online group EFT session. Results: Reductions in stress (p &lt; .001), anxiety (p &lt; .001), and burnout (p &lt; .001) reached high levels of statistical significance for the intervention group. The control group showed no statistically significant changes on these measures (p &gt; .05). Conclusions: A single online group EFT session reduced stress, anxiety, and burnout levels in nurses treating COVID-19.","author":[{"dropping-particle":"","family":"Dincer","given":"Berna","non-dropping-particle":"","parse-names":false,"suffix":""},{"dropping-particle":"","family":"Inangil","given":"Demet","non-dropping-particle":"","parse-names":false,"suffix":""}],"container-title":"Explore","id":"ITEM-2","issue":"2","issued":{"date-parts":[["2021"]]},"page":"109-114","publisher":"Elsevier Inc.","title":"The effect of Emotional Freedom Techniques on nurses' stress, anxiety, and burnout levels during the COVID-19 pandemic: A randomized controlled trial","type":"article-journal","volume":"17"},"uris":["http://www.mendeley.com/documents/?uuid=d1bac4ee-cb0f-455e-9c83-4aa3292e0678"]}],"mendeley":{"formattedCitation":"(Dincer &amp; Inangil, 2021; Fatmawati &amp; Pawestri, 2021)","plainTextFormattedCitation":"(Dincer &amp; Inangil, 2021; Fatmawati &amp; Pawestri, 2021)","previouslyFormattedCitation":"(Dincer &amp; Inangil, 2021; Fatmawati &amp; Pawestri, 2021)"},"properties":{"noteIndex":0},"schema":"https://github.com/citation-style-language/schema/raw/master/csl-citation.json"}</w:instrText>
      </w:r>
      <w:r w:rsidR="000E18F5" w:rsidRPr="004E2B6D">
        <w:rPr>
          <w:rFonts w:ascii="Times New Roman" w:eastAsia="Times New Roman" w:hAnsi="Times New Roman" w:cs="Times New Roman"/>
          <w:sz w:val="24"/>
          <w:szCs w:val="24"/>
        </w:rPr>
        <w:fldChar w:fldCharType="separate"/>
      </w:r>
      <w:r w:rsidR="00D95B1F" w:rsidRPr="004E2B6D">
        <w:rPr>
          <w:rFonts w:ascii="Times New Roman" w:eastAsia="Times New Roman" w:hAnsi="Times New Roman" w:cs="Times New Roman"/>
          <w:noProof/>
          <w:sz w:val="24"/>
          <w:szCs w:val="24"/>
        </w:rPr>
        <w:t>(Dincer &amp; Inangil, 2021; Fatmawati &amp; Pawestri, 2021)</w:t>
      </w:r>
      <w:r w:rsidR="000E18F5" w:rsidRPr="004E2B6D">
        <w:rPr>
          <w:rFonts w:ascii="Times New Roman" w:eastAsia="Times New Roman" w:hAnsi="Times New Roman" w:cs="Times New Roman"/>
          <w:sz w:val="24"/>
          <w:szCs w:val="24"/>
        </w:rPr>
        <w:fldChar w:fldCharType="end"/>
      </w:r>
      <w:r w:rsidR="00AB0696" w:rsidRPr="004E2B6D">
        <w:rPr>
          <w:rFonts w:ascii="Times New Roman" w:eastAsia="Times New Roman" w:hAnsi="Times New Roman" w:cs="Times New Roman"/>
          <w:sz w:val="24"/>
          <w:szCs w:val="24"/>
        </w:rPr>
        <w:t xml:space="preserve">. </w:t>
      </w:r>
      <w:r w:rsidRPr="004E2B6D">
        <w:rPr>
          <w:rFonts w:ascii="Times New Roman" w:hAnsi="Times New Roman" w:cs="Times New Roman"/>
          <w:sz w:val="24"/>
          <w:szCs w:val="24"/>
        </w:rPr>
        <w:t>K</w:t>
      </w:r>
      <w:r w:rsidRPr="004E2B6D">
        <w:rPr>
          <w:rFonts w:ascii="Times New Roman" w:hAnsi="Times New Roman" w:cs="Times New Roman"/>
          <w:iCs/>
          <w:sz w:val="24"/>
          <w:szCs w:val="24"/>
        </w:rPr>
        <w:t>amar operasi</w:t>
      </w:r>
      <w:r w:rsidRPr="004E2B6D">
        <w:rPr>
          <w:rFonts w:ascii="Times New Roman" w:hAnsi="Times New Roman" w:cs="Times New Roman"/>
          <w:i/>
          <w:spacing w:val="1"/>
          <w:sz w:val="24"/>
          <w:szCs w:val="24"/>
        </w:rPr>
        <w:t xml:space="preserve"> </w:t>
      </w:r>
      <w:r w:rsidRPr="004E2B6D">
        <w:rPr>
          <w:rFonts w:ascii="Times New Roman" w:hAnsi="Times New Roman" w:cs="Times New Roman"/>
          <w:sz w:val="24"/>
          <w:szCs w:val="24"/>
          <w:lang w:val="id-ID"/>
        </w:rPr>
        <w:t>memberikan</w:t>
      </w:r>
      <w:r w:rsidRPr="004E2B6D">
        <w:rPr>
          <w:rFonts w:ascii="Times New Roman" w:hAnsi="Times New Roman" w:cs="Times New Roman"/>
          <w:spacing w:val="1"/>
          <w:sz w:val="24"/>
          <w:szCs w:val="24"/>
          <w:lang w:val="id-ID"/>
        </w:rPr>
        <w:t xml:space="preserve"> </w:t>
      </w:r>
      <w:r w:rsidRPr="004E2B6D">
        <w:rPr>
          <w:rFonts w:ascii="Times New Roman" w:hAnsi="Times New Roman" w:cs="Times New Roman"/>
          <w:sz w:val="24"/>
          <w:szCs w:val="24"/>
          <w:lang w:val="id-ID"/>
        </w:rPr>
        <w:t>kecemasan</w:t>
      </w:r>
      <w:r w:rsidRPr="004E2B6D">
        <w:rPr>
          <w:rFonts w:ascii="Times New Roman" w:hAnsi="Times New Roman" w:cs="Times New Roman"/>
          <w:spacing w:val="1"/>
          <w:sz w:val="24"/>
          <w:szCs w:val="24"/>
          <w:lang w:val="id-ID"/>
        </w:rPr>
        <w:t xml:space="preserve"> </w:t>
      </w:r>
      <w:r w:rsidRPr="004E2B6D">
        <w:rPr>
          <w:rFonts w:ascii="Times New Roman" w:hAnsi="Times New Roman" w:cs="Times New Roman"/>
          <w:sz w:val="24"/>
          <w:szCs w:val="24"/>
          <w:lang w:val="id-ID"/>
        </w:rPr>
        <w:lastRenderedPageBreak/>
        <w:t>tersendiri</w:t>
      </w:r>
      <w:r w:rsidRPr="004E2B6D">
        <w:rPr>
          <w:rFonts w:ascii="Times New Roman" w:hAnsi="Times New Roman" w:cs="Times New Roman"/>
          <w:spacing w:val="1"/>
          <w:sz w:val="24"/>
          <w:szCs w:val="24"/>
          <w:lang w:val="id-ID"/>
        </w:rPr>
        <w:t xml:space="preserve"> </w:t>
      </w:r>
      <w:r w:rsidRPr="004E2B6D">
        <w:rPr>
          <w:rFonts w:ascii="Times New Roman" w:eastAsia="Times New Roman" w:hAnsi="Times New Roman" w:cs="Times New Roman"/>
          <w:sz w:val="24"/>
          <w:szCs w:val="24"/>
        </w:rPr>
        <w:t xml:space="preserve">terutama pada klien dengan tingkat kesadaran composmentis atau sadar penuh. Kecemasan yang dirasakan pasien pre operasi ditandai dengan adanya perubahan fisik seperti meningkatnya frekuensi nadi dan pernapasan, gerakan tangan yang tidak terkontrol, telapak tangan yang lembab, gelisah, menanyakan pertanyaan yang berulang, sulit tidur dan sering berkemih </w:t>
      </w:r>
      <w:r w:rsidRPr="004E2B6D">
        <w:rPr>
          <w:rFonts w:ascii="Times New Roman" w:eastAsia="Times New Roman" w:hAnsi="Times New Roman" w:cs="Times New Roman"/>
          <w:sz w:val="24"/>
          <w:szCs w:val="24"/>
        </w:rPr>
        <w:fldChar w:fldCharType="begin" w:fldLock="1"/>
      </w:r>
      <w:r w:rsidR="00D95B1F" w:rsidRPr="004E2B6D">
        <w:rPr>
          <w:rFonts w:ascii="Times New Roman" w:eastAsia="Times New Roman" w:hAnsi="Times New Roman" w:cs="Times New Roman"/>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ryanti","given":"Eneng","non-dropping-particle":"","parse-names":false,"suffix":""},{"dropping-particle":"","family":"Mardiana","given":"Fitriani","non-dropping-particle":"","parse-names":false,"suffix":""}],"container-title":"Jurnal Keperawatan &amp; Kebidanan","id":"ITEM-1","issue":"1","issued":{"date-parts":[["2020"]]},"page":"24-33","title":"Efektifitas Hypnotherapy dalam Mengurangi Tingkat Kecemasan Pasien Pre Operasi Hernia di RS TNI AU Dr. M Salamun Bandung 2019","type":"article-journal","volume":"4"},"uris":["http://www.mendeley.com/documents/?uuid=ea67db25-d5e7-4b3d-a647-e1b249860dd6"]},{"id":"ITEM-2","itemData":{"ISSN":"2476-5023","abstract":"Introduction: The purpose of present study was to examine the effects of action observation and motor imagery on mu rhythm suppression in basketball free throw shot. Method: 10 novice male students (mean age: 23.2±1.5 years) voluntarily participated in this study. The observation and imagery’ order was counterbalanced. Participants’ Brain Waves were recorded by electroencephalograph in four conditions, open and closed eye resting, observing and imagery of free throw shot in external perspective. Mu rhythm Suppression was calculated as a ratio of the alpha power during observation and imagery relative to the alpha power in the baseline conditions (open and closed eyes rest). Findings: Results of ANOVA (2×3) with the within-subject factors of condition (Observation, Imagery) and brain area (C3,CZ,C4) relative to the resting period with open and closed eyes showed that only the main effect of the condition were significant (P ≥0.01), so that, there were significant differences between mu rhythm suppression in observation and imagery conditions. In other words, mu rhythm in observation condition was more significantly suppressed compared to the imagery condition (P ≥0.01), but the main effect of brain area and the interaction of both variables were not significant. Conclusion: Results of present study suggest that more mu rhythm suppression in action observation compared to imagery condition reflects more reactivity of mirror neurons to action observation. It appears that observation is more effective strategy in educational situation.","author":[{"dropping-particle":"","family":"Lestianti","given":"Ira","non-dropping-particle":"","parse-names":false,"suffix":""},{"dropping-particle":"","family":"Utami","given":"Gamya Tri","non-dropping-particle":"","parse-names":false,"suffix":""},{"dropping-particle":"","family":"Utami","given":"Sri","non-dropping-particle":"","parse-names":false,"suffix":""}],"container-title":"JOM FKP","id":"ITEM-2","issue":"2","issued":{"date-parts":[["2020"]]},"page":"79-88","title":"Pengaruh Terapi Spiritual Terhadap Tingkat Kecemasan Pasien Pre-Operasi : Literature Review","type":"article-journal","volume":"7"},"uris":["http://www.mendeley.com/documents/?uuid=9e4c7c6b-baac-467d-8635-1e80154ceac3"]}],"mendeley":{"formattedCitation":"(Daryanti &amp; Mardiana, 2020; Lestianti et al., 2020)","plainTextFormattedCitation":"(Daryanti &amp; Mardiana, 2020; Lestianti et al., 2020)","previouslyFormattedCitation":"(Daryanti &amp; Mardiana, 2020; Lestianti et al., 2020)"},"properties":{"noteIndex":0},"schema":"https://github.com/citation-style-language/schema/raw/master/csl-citation.json"}</w:instrText>
      </w:r>
      <w:r w:rsidRPr="004E2B6D">
        <w:rPr>
          <w:rFonts w:ascii="Times New Roman" w:eastAsia="Times New Roman" w:hAnsi="Times New Roman" w:cs="Times New Roman"/>
          <w:sz w:val="24"/>
          <w:szCs w:val="24"/>
        </w:rPr>
        <w:fldChar w:fldCharType="separate"/>
      </w:r>
      <w:r w:rsidR="000E18F5" w:rsidRPr="004E2B6D">
        <w:rPr>
          <w:rFonts w:ascii="Times New Roman" w:eastAsia="Times New Roman" w:hAnsi="Times New Roman" w:cs="Times New Roman"/>
          <w:noProof/>
          <w:sz w:val="24"/>
          <w:szCs w:val="24"/>
        </w:rPr>
        <w:t>(Daryanti &amp; Mardiana, 2020; Lestianti et al., 2020)</w:t>
      </w:r>
      <w:r w:rsidRPr="004E2B6D">
        <w:rPr>
          <w:rFonts w:ascii="Times New Roman" w:eastAsia="Times New Roman" w:hAnsi="Times New Roman" w:cs="Times New Roman"/>
          <w:sz w:val="24"/>
          <w:szCs w:val="24"/>
        </w:rPr>
        <w:fldChar w:fldCharType="end"/>
      </w:r>
      <w:r w:rsidRPr="004E2B6D">
        <w:rPr>
          <w:rFonts w:ascii="Times New Roman" w:eastAsia="Times New Roman" w:hAnsi="Times New Roman" w:cs="Times New Roman"/>
          <w:sz w:val="24"/>
          <w:szCs w:val="24"/>
        </w:rPr>
        <w:t xml:space="preserve">. </w:t>
      </w:r>
    </w:p>
    <w:p w14:paraId="4AC795D7" w14:textId="086B9F72" w:rsidR="00533D81" w:rsidRPr="004E2B6D" w:rsidRDefault="00533D81" w:rsidP="004D66B8">
      <w:pPr>
        <w:spacing w:after="0" w:line="240" w:lineRule="auto"/>
        <w:ind w:firstLine="567"/>
        <w:jc w:val="both"/>
        <w:rPr>
          <w:rFonts w:ascii="Times New Roman" w:eastAsia="Times New Roman" w:hAnsi="Times New Roman" w:cs="Times New Roman"/>
          <w:sz w:val="24"/>
          <w:szCs w:val="24"/>
        </w:rPr>
      </w:pPr>
      <w:r w:rsidRPr="004E2B6D">
        <w:rPr>
          <w:rFonts w:ascii="Times New Roman" w:hAnsi="Times New Roman" w:cs="Times New Roman"/>
          <w:sz w:val="24"/>
          <w:szCs w:val="24"/>
        </w:rPr>
        <w:t xml:space="preserve">Tahapan dalam operasi ada 3 yaitu tahap pra bedah (preoperatif), tahap pembedahan (intra operasi), dan tahap pasca bedah (post operasi) </w:t>
      </w:r>
      <w:r w:rsidRPr="004E2B6D">
        <w:rPr>
          <w:rFonts w:ascii="Times New Roman" w:hAnsi="Times New Roman" w:cs="Times New Roman"/>
          <w:sz w:val="24"/>
          <w:szCs w:val="24"/>
        </w:rPr>
        <w:fldChar w:fldCharType="begin" w:fldLock="1"/>
      </w:r>
      <w:r w:rsidR="00456939" w:rsidRPr="004E2B6D">
        <w:rPr>
          <w:rFonts w:ascii="Times New Roman" w:hAnsi="Times New Roman" w:cs="Times New Roman"/>
          <w:sz w:val="24"/>
          <w:szCs w:val="24"/>
        </w:rPr>
        <w:instrText>ADDIN CSL_CITATION {"citationItems":[{"id":"ITEM-1","itemData":{"author":[{"dropping-particle":"","family":"Sitinjak","given":"Melisa Patricia","non-dropping-particle":"","parse-names":false,"suffix":""},{"dropping-particle":"","family":"Dewi","given":"Dewa Ayu Mas Shintya","non-dropping-particle":"","parse-names":false,"suffix":""},{"dropping-particle":"","family":"Sidemen","given":"I Gusti Putu Sukrana","non-dropping-particle":"","parse-names":false,"suffix":""}],"container-title":"Jurnal Medika Udayana","id":"ITEM-1","issue":"2","issued":{"date-parts":[["2022"]]},"page":"48-54","title":"Gambaran Tingkat Kecemasan Pasien Pre Operasi Pembedahan Ortopedi Di Rumah Sakit Umum Pusat Sanglah","type":"article-journal","volume":"11"},"uris":["http://www.mendeley.com/documents/?uuid=b08558ac-bcf6-4667-bed5-ada24365114e"]}],"mendeley":{"formattedCitation":"(Sitinjak et al., 2022)","plainTextFormattedCitation":"(Sitinjak et al., 2022)","previouslyFormattedCitation":"(Sitinjak et al., 2022)"},"properties":{"noteIndex":0},"schema":"https://github.com/citation-style-language/schema/raw/master/csl-citation.json"}</w:instrText>
      </w:r>
      <w:r w:rsidRPr="004E2B6D">
        <w:rPr>
          <w:rFonts w:ascii="Times New Roman" w:hAnsi="Times New Roman" w:cs="Times New Roman"/>
          <w:sz w:val="24"/>
          <w:szCs w:val="24"/>
        </w:rPr>
        <w:fldChar w:fldCharType="separate"/>
      </w:r>
      <w:r w:rsidR="00456939" w:rsidRPr="004E2B6D">
        <w:rPr>
          <w:rFonts w:ascii="Times New Roman" w:hAnsi="Times New Roman" w:cs="Times New Roman"/>
          <w:noProof/>
          <w:sz w:val="24"/>
          <w:szCs w:val="24"/>
        </w:rPr>
        <w:t>(Sitinjak et al., 2022)</w:t>
      </w:r>
      <w:r w:rsidRPr="004E2B6D">
        <w:rPr>
          <w:rFonts w:ascii="Times New Roman" w:hAnsi="Times New Roman" w:cs="Times New Roman"/>
          <w:sz w:val="24"/>
          <w:szCs w:val="24"/>
        </w:rPr>
        <w:fldChar w:fldCharType="end"/>
      </w:r>
      <w:r w:rsidRPr="004E2B6D">
        <w:rPr>
          <w:rFonts w:ascii="Times New Roman" w:hAnsi="Times New Roman" w:cs="Times New Roman"/>
          <w:sz w:val="24"/>
          <w:szCs w:val="24"/>
        </w:rPr>
        <w:t xml:space="preserve">. Tindakan bedah biasanya dilakukan oleh sebuah tim yang terdiri dari dokter bedah, asisten dokter bedah, ahli obat bius, perawat bedah, dan teknisi bedah. Seluruh prosedur bisa diselesaikan dalam hitungan menit atau jam, tergantung pada jenisnya dan penyakit yang ditagani. </w:t>
      </w:r>
      <w:r w:rsidR="00FF7B9A" w:rsidRPr="004E2B6D">
        <w:rPr>
          <w:rFonts w:ascii="Times New Roman" w:hAnsi="Times New Roman" w:cs="Times New Roman"/>
          <w:sz w:val="24"/>
          <w:szCs w:val="24"/>
        </w:rPr>
        <w:t>Kecemasan pre operasi merupakan suatu respon antisipasi terhadap suatu pengalaman yang dianggap pasien sebagai suatu ancaman dalam peran hidup, integritas tubuh, bahkan kehidupan itu sendiri</w:t>
      </w:r>
      <w:r w:rsidR="00456939" w:rsidRPr="004E2B6D">
        <w:rPr>
          <w:rFonts w:ascii="Times New Roman" w:hAnsi="Times New Roman" w:cs="Times New Roman"/>
          <w:sz w:val="24"/>
          <w:szCs w:val="24"/>
        </w:rPr>
        <w:t xml:space="preserve"> </w:t>
      </w:r>
      <w:r w:rsidR="00456939" w:rsidRPr="004E2B6D">
        <w:rPr>
          <w:rFonts w:ascii="Times New Roman" w:hAnsi="Times New Roman" w:cs="Times New Roman"/>
          <w:sz w:val="24"/>
          <w:szCs w:val="24"/>
        </w:rPr>
        <w:fldChar w:fldCharType="begin" w:fldLock="1"/>
      </w:r>
      <w:r w:rsidR="00456939" w:rsidRPr="004E2B6D">
        <w:rPr>
          <w:rFonts w:ascii="Times New Roman" w:hAnsi="Times New Roman" w:cs="Times New Roman"/>
          <w:sz w:val="24"/>
          <w:szCs w:val="24"/>
        </w:rPr>
        <w:instrText>ADDIN CSL_CITATION {"citationItems":[{"id":"ITEM-1","itemData":{"DOI":"10.1016/j.jopan.2021.06.004","ISSN":"10899472","PMID":"34815164","abstract":"Purpose: The purpose of this study was to evaluate the effect of an operating room nurse visit on the anxiety levels of surgical patients. Design: A prospective, interventional, quasi-experimental design. Methods: 80 patients were divided into the control group (n = 40) and the intervention group (n = 40). The control group was given routine care, and the intervention group was visited preoperatively by the operating room nurse in addition to routine care. Findings: The State-Trait Anxiety Inventory (STAI TX-1) mean score of the control patients who had information about anesthesia was low, while the STAI TX-1 mean score of the patients who had concerns about surgery was high. The STAI-TX-1 mean score of the control group patients who had information about anesthesia was significantly lower. There was no statistically significant difference in the STAI TX-1 scores between the two groups before and after surgery (P &gt; .05). However, the STAI TX-1 mean score of the control patients was high in the post-operative period. Conclusions: In an effort to reduce anxiety, the psychological preparation of the patient undergoing urological surgery should involve an anesthesia team member and the operating room nurse together.","author":[{"dropping-particle":"","family":"Cengel","given":"Küpra","non-dropping-particle":"","parse-names":false,"suffix":""},{"dropping-particle":"","family":"Andsoy","given":"Isil Isik","non-dropping-particle":"","parse-names":false,"suffix":""}],"container-title":"Journal of Perianesthesia Nursing","id":"ITEM-1","issue":"1","issued":{"date-parts":[["2022"]]},"page":"80-85","title":"The Effect of an Operating Room Nurse Visit on Surgical Patient Anxiety","type":"article-journal","volume":"37"},"uris":["http://www.mendeley.com/documents/?uuid=90b425c0-475b-4d1d-8fb5-54874c773ecf"]}],"mendeley":{"formattedCitation":"(Cengel &amp; Andsoy, 2022)","plainTextFormattedCitation":"(Cengel &amp; Andsoy, 2022)","previouslyFormattedCitation":"(Cengel &amp; Andsoy, 2022)"},"properties":{"noteIndex":0},"schema":"https://github.com/citation-style-language/schema/raw/master/csl-citation.json"}</w:instrText>
      </w:r>
      <w:r w:rsidR="00456939" w:rsidRPr="004E2B6D">
        <w:rPr>
          <w:rFonts w:ascii="Times New Roman" w:hAnsi="Times New Roman" w:cs="Times New Roman"/>
          <w:sz w:val="24"/>
          <w:szCs w:val="24"/>
        </w:rPr>
        <w:fldChar w:fldCharType="separate"/>
      </w:r>
      <w:r w:rsidR="00456939" w:rsidRPr="004E2B6D">
        <w:rPr>
          <w:rFonts w:ascii="Times New Roman" w:hAnsi="Times New Roman" w:cs="Times New Roman"/>
          <w:noProof/>
          <w:sz w:val="24"/>
          <w:szCs w:val="24"/>
        </w:rPr>
        <w:t>(Cengel &amp; Andsoy, 2022)</w:t>
      </w:r>
      <w:r w:rsidR="00456939" w:rsidRPr="004E2B6D">
        <w:rPr>
          <w:rFonts w:ascii="Times New Roman" w:hAnsi="Times New Roman" w:cs="Times New Roman"/>
          <w:sz w:val="24"/>
          <w:szCs w:val="24"/>
        </w:rPr>
        <w:fldChar w:fldCharType="end"/>
      </w:r>
      <w:r w:rsidR="00FF7B9A" w:rsidRPr="004E2B6D">
        <w:rPr>
          <w:rFonts w:ascii="Times New Roman" w:hAnsi="Times New Roman" w:cs="Times New Roman"/>
          <w:sz w:val="24"/>
          <w:szCs w:val="24"/>
        </w:rPr>
        <w:t>.</w:t>
      </w:r>
      <w:r w:rsidR="00FF7B9A" w:rsidRPr="004E2B6D">
        <w:rPr>
          <w:rFonts w:ascii="Times New Roman" w:eastAsia="Times New Roman" w:hAnsi="Times New Roman" w:cs="Times New Roman"/>
          <w:sz w:val="24"/>
          <w:szCs w:val="24"/>
        </w:rPr>
        <w:t xml:space="preserve"> </w:t>
      </w:r>
      <w:r w:rsidRPr="004E2B6D">
        <w:rPr>
          <w:rFonts w:ascii="Times New Roman" w:eastAsia="Times New Roman" w:hAnsi="Times New Roman" w:cs="Times New Roman"/>
          <w:sz w:val="24"/>
          <w:szCs w:val="24"/>
        </w:rPr>
        <w:t xml:space="preserve">Kecemasan pasien pre operasi mengakibatkan penundaan tindakan operasi karena pasien yang mengalami kecemasan sebelum operasi akan muncul kelainan seperti tekanan darah meningkat </w:t>
      </w:r>
      <w:r w:rsidRPr="004E2B6D">
        <w:rPr>
          <w:rFonts w:ascii="Times New Roman" w:eastAsia="Times New Roman" w:hAnsi="Times New Roman" w:cs="Times New Roman"/>
          <w:sz w:val="24"/>
          <w:szCs w:val="24"/>
        </w:rPr>
        <w:fldChar w:fldCharType="begin" w:fldLock="1"/>
      </w:r>
      <w:r w:rsidR="00456939" w:rsidRPr="004E2B6D">
        <w:rPr>
          <w:rFonts w:ascii="Times New Roman" w:eastAsia="Times New Roman" w:hAnsi="Times New Roman" w:cs="Times New Roman"/>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ryanti","given":"Eneng","non-dropping-particle":"","parse-names":false,"suffix":""},{"dropping-particle":"","family":"Mardiana","given":"Fitriani","non-dropping-particle":"","parse-names":false,"suffix":""}],"container-title":"Jurnal Keperawatan &amp; Kebidanan","id":"ITEM-1","issue":"1","issued":{"date-parts":[["2020"]]},"page":"24-33","title":"Efektifitas Hypnotherapy dalam Mengurangi Tingkat Kecemasan Pasien Pre Operasi Hernia di RS TNI AU Dr. M Salamun Bandung 2019","type":"article-journal","volume":"4"},"uris":["http://www.mendeley.com/documents/?uuid=ea67db25-d5e7-4b3d-a647-e1b249860dd6"]}],"mendeley":{"formattedCitation":"(Daryanti &amp; Mardiana, 2020)","plainTextFormattedCitation":"(Daryanti &amp; Mardiana, 2020)","previouslyFormattedCitation":"(Daryanti &amp; Mardiana, 2020)"},"properties":{"noteIndex":0},"schema":"https://github.com/citation-style-language/schema/raw/master/csl-citation.json"}</w:instrText>
      </w:r>
      <w:r w:rsidRPr="004E2B6D">
        <w:rPr>
          <w:rFonts w:ascii="Times New Roman" w:eastAsia="Times New Roman" w:hAnsi="Times New Roman" w:cs="Times New Roman"/>
          <w:sz w:val="24"/>
          <w:szCs w:val="24"/>
        </w:rPr>
        <w:fldChar w:fldCharType="separate"/>
      </w:r>
      <w:r w:rsidR="00456939" w:rsidRPr="004E2B6D">
        <w:rPr>
          <w:rFonts w:ascii="Times New Roman" w:eastAsia="Times New Roman" w:hAnsi="Times New Roman" w:cs="Times New Roman"/>
          <w:noProof/>
          <w:sz w:val="24"/>
          <w:szCs w:val="24"/>
        </w:rPr>
        <w:t>(Daryanti &amp; Mardiana, 2020)</w:t>
      </w:r>
      <w:r w:rsidRPr="004E2B6D">
        <w:rPr>
          <w:rFonts w:ascii="Times New Roman" w:eastAsia="Times New Roman" w:hAnsi="Times New Roman" w:cs="Times New Roman"/>
          <w:sz w:val="24"/>
          <w:szCs w:val="24"/>
        </w:rPr>
        <w:fldChar w:fldCharType="end"/>
      </w:r>
      <w:r w:rsidRPr="004E2B6D">
        <w:rPr>
          <w:rFonts w:ascii="Times New Roman" w:eastAsia="Times New Roman" w:hAnsi="Times New Roman" w:cs="Times New Roman"/>
          <w:sz w:val="24"/>
          <w:szCs w:val="24"/>
        </w:rPr>
        <w:t>.</w:t>
      </w:r>
      <w:r w:rsidR="00EB4149" w:rsidRPr="004E2B6D">
        <w:rPr>
          <w:rFonts w:ascii="Times New Roman" w:eastAsia="Times New Roman" w:hAnsi="Times New Roman" w:cs="Times New Roman"/>
          <w:sz w:val="24"/>
          <w:szCs w:val="24"/>
        </w:rPr>
        <w:t xml:space="preserve"> </w:t>
      </w:r>
    </w:p>
    <w:p w14:paraId="4F641404" w14:textId="2625D20B" w:rsidR="00EB4149" w:rsidRPr="004E2B6D" w:rsidRDefault="00FB1CB2" w:rsidP="004D66B8">
      <w:pPr>
        <w:spacing w:after="0" w:line="240" w:lineRule="auto"/>
        <w:ind w:firstLine="567"/>
        <w:jc w:val="both"/>
        <w:rPr>
          <w:rFonts w:ascii="Times New Roman" w:eastAsia="Times New Roman" w:hAnsi="Times New Roman" w:cs="Times New Roman"/>
          <w:sz w:val="24"/>
          <w:szCs w:val="24"/>
        </w:rPr>
      </w:pPr>
      <w:r w:rsidRPr="004E2B6D">
        <w:rPr>
          <w:rFonts w:ascii="Times New Roman" w:eastAsia="Times New Roman" w:hAnsi="Times New Roman" w:cs="Times New Roman"/>
          <w:sz w:val="24"/>
          <w:szCs w:val="24"/>
        </w:rPr>
        <w:t>Kecemasan yang tidak ditangani dengan baik dapat menimbulkan adanya perubahan secara fisik maupun psikologis yang akhirnya dapat meningkatkan kerja saraf simpatis dan akan terjadi peningkatan denyut jantung, frekuensi napas, tekanan darah, keringat dingin, merasa mulas, gangguan perkemihan, dan secara umum mengurangi tingkat energi pada pasien sehingga merugikan pasien itu sendiri. Kecemasan pada pasien pre operasi yang tidak ditangani akan menyebabkan tindakan operasi tertunda, lamanya pemulihan, peningkatan rasa sakit pasca operasi, mengurangi kekebalan terhadap infeksi, peningkatan penggunaan analgesik setelah operasi</w:t>
      </w:r>
      <w:r w:rsidR="0008697E" w:rsidRPr="004E2B6D">
        <w:rPr>
          <w:rFonts w:ascii="Times New Roman" w:eastAsia="Times New Roman" w:hAnsi="Times New Roman" w:cs="Times New Roman"/>
          <w:sz w:val="24"/>
          <w:szCs w:val="24"/>
        </w:rPr>
        <w:t>, dan bertambahnya waktu rawat inap</w:t>
      </w:r>
      <w:r w:rsidR="002971DB" w:rsidRPr="004E2B6D">
        <w:rPr>
          <w:rFonts w:ascii="Times New Roman" w:eastAsia="Times New Roman" w:hAnsi="Times New Roman" w:cs="Times New Roman"/>
          <w:sz w:val="24"/>
          <w:szCs w:val="24"/>
        </w:rPr>
        <w:t xml:space="preserve"> </w:t>
      </w:r>
      <w:r w:rsidR="002971DB" w:rsidRPr="004E2B6D">
        <w:rPr>
          <w:rFonts w:ascii="Times New Roman" w:eastAsia="Times New Roman" w:hAnsi="Times New Roman" w:cs="Times New Roman"/>
          <w:sz w:val="24"/>
          <w:szCs w:val="24"/>
        </w:rPr>
        <w:fldChar w:fldCharType="begin" w:fldLock="1"/>
      </w:r>
      <w:r w:rsidR="00793D5F" w:rsidRPr="004E2B6D">
        <w:rPr>
          <w:rFonts w:ascii="Times New Roman" w:eastAsia="Times New Roman" w:hAnsi="Times New Roman" w:cs="Times New Roman"/>
          <w:sz w:val="24"/>
          <w:szCs w:val="24"/>
        </w:rPr>
        <w:instrText>ADDIN CSL_CITATION {"citationItems":[{"id":"ITEM-1","itemData":{"author":[{"dropping-particle":"","family":"Patantan","given":"Reski Ika","non-dropping-particle":"","parse-names":false,"suffix":""},{"dropping-particle":"","family":"Romantika","given":"I Wayan","non-dropping-particle":"","parse-names":false,"suffix":""},{"dropping-particle":"","family":"Narmawan","given":"","non-dropping-particle":"","parse-names":false,"suffix":""},{"dropping-particle":"","family":"Andas","given":"Amzal Mortin","non-dropping-particle":"","parse-names":false,"suffix":""}],"container-title":"Jurnal Surya Medika","id":"ITEM-1","issue":"3","issued":{"date-parts":[["2022"]]},"page":"6-10","title":"HUBUNGAN PENGALAMAN DAN LAMA RAWAT DENGAN KECEMASAN RS BENYAMIN GULUH KOLAKA Relationship Between Experience And Length Of Stay With Anxiety In Children Undergoing Hospitalization In The Inpatient Room At Benyamin Guluh Kolaka Hospital","type":"article-journal","volume":"8"},"uris":["http://www.mendeley.com/documents/?uuid=1fb0d2f9-4d83-4480-be98-a2f0673808e8"]}],"mendeley":{"formattedCitation":"(Patantan et al., 2022)","plainTextFormattedCitation":"(Patantan et al., 2022)","previouslyFormattedCitation":"(Patantan et al., 2022)"},"properties":{"noteIndex":0},"schema":"https://github.com/citation-style-language/schema/raw/master/csl-citation.json"}</w:instrText>
      </w:r>
      <w:r w:rsidR="002971DB" w:rsidRPr="004E2B6D">
        <w:rPr>
          <w:rFonts w:ascii="Times New Roman" w:eastAsia="Times New Roman" w:hAnsi="Times New Roman" w:cs="Times New Roman"/>
          <w:sz w:val="24"/>
          <w:szCs w:val="24"/>
        </w:rPr>
        <w:fldChar w:fldCharType="separate"/>
      </w:r>
      <w:r w:rsidR="002971DB" w:rsidRPr="004E2B6D">
        <w:rPr>
          <w:rFonts w:ascii="Times New Roman" w:eastAsia="Times New Roman" w:hAnsi="Times New Roman" w:cs="Times New Roman"/>
          <w:noProof/>
          <w:sz w:val="24"/>
          <w:szCs w:val="24"/>
        </w:rPr>
        <w:t>(Patantan et al., 2022)</w:t>
      </w:r>
      <w:r w:rsidR="002971DB" w:rsidRPr="004E2B6D">
        <w:rPr>
          <w:rFonts w:ascii="Times New Roman" w:eastAsia="Times New Roman" w:hAnsi="Times New Roman" w:cs="Times New Roman"/>
          <w:sz w:val="24"/>
          <w:szCs w:val="24"/>
        </w:rPr>
        <w:fldChar w:fldCharType="end"/>
      </w:r>
      <w:r w:rsidR="00CB715E" w:rsidRPr="004E2B6D">
        <w:rPr>
          <w:rFonts w:ascii="Times New Roman" w:eastAsia="Times New Roman" w:hAnsi="Times New Roman" w:cs="Times New Roman"/>
          <w:sz w:val="24"/>
          <w:szCs w:val="24"/>
        </w:rPr>
        <w:t>.</w:t>
      </w:r>
    </w:p>
    <w:p w14:paraId="13F7C0EC" w14:textId="39153869" w:rsidR="008A4F3A" w:rsidRPr="004E2B6D" w:rsidRDefault="008A4F3A" w:rsidP="004D66B8">
      <w:pPr>
        <w:spacing w:after="0" w:line="240" w:lineRule="auto"/>
        <w:ind w:firstLine="567"/>
        <w:jc w:val="both"/>
        <w:rPr>
          <w:rFonts w:ascii="Times New Roman" w:eastAsia="Times New Roman" w:hAnsi="Times New Roman" w:cs="Times New Roman"/>
          <w:sz w:val="24"/>
          <w:szCs w:val="24"/>
        </w:rPr>
      </w:pPr>
      <w:r w:rsidRPr="004E2B6D">
        <w:rPr>
          <w:rFonts w:ascii="Times New Roman" w:eastAsia="Times New Roman" w:hAnsi="Times New Roman" w:cs="Times New Roman"/>
          <w:sz w:val="24"/>
          <w:szCs w:val="24"/>
        </w:rPr>
        <w:t>Intervensi keperawatan kecemasan pada pasien pre operasi dengan identifikasi cemas, strategi koping, interven</w:t>
      </w:r>
      <w:r w:rsidR="008E45C0" w:rsidRPr="004E2B6D">
        <w:rPr>
          <w:rFonts w:ascii="Times New Roman" w:eastAsia="Times New Roman" w:hAnsi="Times New Roman" w:cs="Times New Roman"/>
          <w:sz w:val="24"/>
          <w:szCs w:val="24"/>
        </w:rPr>
        <w:t>si non farmakologi (terapi musik</w:t>
      </w:r>
      <w:r w:rsidRPr="004E2B6D">
        <w:rPr>
          <w:rFonts w:ascii="Times New Roman" w:eastAsia="Times New Roman" w:hAnsi="Times New Roman" w:cs="Times New Roman"/>
          <w:sz w:val="24"/>
          <w:szCs w:val="24"/>
        </w:rPr>
        <w:t xml:space="preserve">, pemberian minyak lavender, </w:t>
      </w:r>
      <w:r w:rsidR="008E45C0" w:rsidRPr="004E2B6D">
        <w:rPr>
          <w:rFonts w:ascii="Times New Roman" w:eastAsia="Times New Roman" w:hAnsi="Times New Roman" w:cs="Times New Roman"/>
          <w:i/>
          <w:sz w:val="24"/>
          <w:szCs w:val="24"/>
        </w:rPr>
        <w:t>wack wednesday</w:t>
      </w:r>
      <w:r w:rsidRPr="004E2B6D">
        <w:rPr>
          <w:rFonts w:ascii="Times New Roman" w:eastAsia="Times New Roman" w:hAnsi="Times New Roman" w:cs="Times New Roman"/>
          <w:i/>
          <w:sz w:val="24"/>
          <w:szCs w:val="24"/>
        </w:rPr>
        <w:t>, healing touch</w:t>
      </w:r>
      <w:r w:rsidRPr="004E2B6D">
        <w:rPr>
          <w:rFonts w:ascii="Times New Roman" w:eastAsia="Times New Roman" w:hAnsi="Times New Roman" w:cs="Times New Roman"/>
          <w:sz w:val="24"/>
          <w:szCs w:val="24"/>
        </w:rPr>
        <w:t xml:space="preserve">, dan </w:t>
      </w:r>
      <w:r w:rsidRPr="004E2B6D">
        <w:rPr>
          <w:rFonts w:ascii="Times New Roman" w:eastAsia="Times New Roman" w:hAnsi="Times New Roman" w:cs="Times New Roman"/>
          <w:i/>
          <w:sz w:val="24"/>
          <w:szCs w:val="24"/>
        </w:rPr>
        <w:t>hand reflexology</w:t>
      </w:r>
      <w:r w:rsidRPr="004E2B6D">
        <w:rPr>
          <w:rFonts w:ascii="Times New Roman" w:eastAsia="Times New Roman" w:hAnsi="Times New Roman" w:cs="Times New Roman"/>
          <w:sz w:val="24"/>
          <w:szCs w:val="24"/>
        </w:rPr>
        <w:t xml:space="preserve">), regulasi emosi, dan manajemen cemas </w:t>
      </w:r>
      <w:r w:rsidRPr="004E2B6D">
        <w:rPr>
          <w:rFonts w:ascii="Times New Roman" w:eastAsia="Times New Roman" w:hAnsi="Times New Roman" w:cs="Times New Roman"/>
          <w:sz w:val="24"/>
          <w:szCs w:val="24"/>
        </w:rPr>
        <w:fldChar w:fldCharType="begin" w:fldLock="1"/>
      </w:r>
      <w:r w:rsidRPr="004E2B6D">
        <w:rPr>
          <w:rFonts w:ascii="Times New Roman" w:eastAsia="Times New Roman" w:hAnsi="Times New Roman" w:cs="Times New Roman"/>
          <w:sz w:val="24"/>
          <w:szCs w:val="24"/>
        </w:rPr>
        <w:instrText>ADDIN CSL_CITATION {"citationItems":[{"id":"ITEM-1","itemData":{"ISSN":"2685-1156","abstract":"Nursing Interventions for Anxiety in Patients Preoperative: Literature Review     Background:      o  ne of the psychological effects of surgery is anxiety (Sutejo, 2018). Anxiety management can be done in pharmacology (doctors) or non-pharmacology (nurses). One of the preoperative anxiety nursing interventions was learned through the identification of various related studies / Integrated Literature Review (IRL). Thus the authors are interested in identifying \"How Anxiety Nursing Interventions in Patients Pre Operative: Literature Review\".      Objective:    identifying anxiety nursing interventions in preoperative patients.    Methods:      t  he study was conducted using the Literature Review method. The steps are: problem identification, literature search, data identification, data analysis and reporting. Literature search using Google Scholar and Garuda Portal with inclusion criteria, namely Indonesian language articles, full text, and discussing preoperative patient anxiety.      Results:      t  here are 7 journals that fit the inclusion criteria. Researchers divided into five pre-operative anxiety nursing interventions: one journal (14%) explained identification of anxiety levels, two journals (29%) about anxiety coping strategies, two journals (29%) about nonpharmacological interventions reduced anxiety levels, one journal ( 14%) about the regulation of emotional anxiety, and one journal (14%) about anxiety management.      Conclusion:      a  nxiety nursing interventions in preoperative patients with anxiety identification, coping strategies, nonpharmacological interventions (music therapy, lavender oil administration, Wack Wednesday, healing touch, and hand reflexology), emotional regulation, and anxiety management.","author":[{"dropping-particle":"","family":"Istiarini","given":"Ch. Hatri","non-dropping-particle":"","parse-names":false,"suffix":""},{"dropping-particle":"","family":"Osa","given":"Efriane Pali","non-dropping-particle":"","parse-names":false,"suffix":""},{"dropping-particle":"","family":"Ede","given":"Maria Titin Inya","non-dropping-particle":"","parse-names":false,"suffix":""},{"dropping-particle":"","family":"Kaza","given":"Yosefina Metsi","non-dropping-particle":"","parse-names":false,"suffix":""},{"dropping-particle":"","family":"Yuspitasari","given":"","non-dropping-particle":"","parse-names":false,"suffix":""}],"container-title":"Medika Respati : Jurnal Ilmiah Kesehatan","id":"ITEM-1","issue":"2","issued":{"date-parts":[["2021"]]},"page":"95-106","title":"Intervensi Keperawatan Kecemasan Pada Pasien Pre Operasi: Literatur Review","type":"article-journal","volume":"16"},"uris":["http://www.mendeley.com/documents/?uuid=c0321289-1c76-442b-8075-ffb39f5e5cf5"]}],"mendeley":{"formattedCitation":"(Istiarini et al., 2021)","plainTextFormattedCitation":"(Istiarini et al., 2021)","previouslyFormattedCitation":"(Istiarini et al., 2021)"},"properties":{"noteIndex":0},"schema":"https://github.com/citation-style-language/schema/raw/master/csl-citation.json"}</w:instrText>
      </w:r>
      <w:r w:rsidRPr="004E2B6D">
        <w:rPr>
          <w:rFonts w:ascii="Times New Roman" w:eastAsia="Times New Roman" w:hAnsi="Times New Roman" w:cs="Times New Roman"/>
          <w:sz w:val="24"/>
          <w:szCs w:val="24"/>
        </w:rPr>
        <w:fldChar w:fldCharType="separate"/>
      </w:r>
      <w:r w:rsidRPr="004E2B6D">
        <w:rPr>
          <w:rFonts w:ascii="Times New Roman" w:eastAsia="Times New Roman" w:hAnsi="Times New Roman" w:cs="Times New Roman"/>
          <w:noProof/>
          <w:sz w:val="24"/>
          <w:szCs w:val="24"/>
        </w:rPr>
        <w:t>(Istiarini et al., 2021)</w:t>
      </w:r>
      <w:r w:rsidRPr="004E2B6D">
        <w:rPr>
          <w:rFonts w:ascii="Times New Roman" w:eastAsia="Times New Roman" w:hAnsi="Times New Roman" w:cs="Times New Roman"/>
          <w:sz w:val="24"/>
          <w:szCs w:val="24"/>
        </w:rPr>
        <w:fldChar w:fldCharType="end"/>
      </w:r>
      <w:r w:rsidRPr="004E2B6D">
        <w:rPr>
          <w:rFonts w:ascii="Times New Roman" w:eastAsia="Times New Roman" w:hAnsi="Times New Roman" w:cs="Times New Roman"/>
          <w:sz w:val="24"/>
          <w:szCs w:val="24"/>
        </w:rPr>
        <w:t xml:space="preserve">. </w:t>
      </w:r>
      <w:r w:rsidR="008E45C0" w:rsidRPr="004E2B6D">
        <w:rPr>
          <w:rFonts w:ascii="Times New Roman" w:eastAsia="Times New Roman" w:hAnsi="Times New Roman" w:cs="Times New Roman"/>
          <w:sz w:val="24"/>
          <w:szCs w:val="24"/>
        </w:rPr>
        <w:t xml:space="preserve">Intervensi </w:t>
      </w:r>
      <w:r w:rsidRPr="004E2B6D">
        <w:rPr>
          <w:rFonts w:ascii="Times New Roman" w:eastAsia="Times New Roman" w:hAnsi="Times New Roman" w:cs="Times New Roman"/>
          <w:sz w:val="24"/>
          <w:szCs w:val="24"/>
        </w:rPr>
        <w:t xml:space="preserve">non farmakologis dapat dilakukan untuk mengatasi kecemasan </w:t>
      </w:r>
      <w:r w:rsidRPr="004E2B6D">
        <w:rPr>
          <w:rFonts w:ascii="Times New Roman" w:eastAsia="Times New Roman" w:hAnsi="Times New Roman" w:cs="Times New Roman"/>
          <w:sz w:val="24"/>
          <w:szCs w:val="24"/>
        </w:rPr>
        <w:fldChar w:fldCharType="begin" w:fldLock="1"/>
      </w:r>
      <w:r w:rsidR="00F94699" w:rsidRPr="004E2B6D">
        <w:rPr>
          <w:rFonts w:ascii="Times New Roman" w:eastAsia="Times New Roman" w:hAnsi="Times New Roman" w:cs="Times New Roman"/>
          <w:sz w:val="24"/>
          <w:szCs w:val="24"/>
        </w:rPr>
        <w:instrText>ADDIN CSL_CITATION {"citationItems":[{"id":"ITEM-1","itemData":{"abstract":"Mahasiswa merupakan peserta didik berusia 18 sampai 25 tahun yang terdaftar dan menjalani pendidikan di perguruan tinggi. Semakin tinggi tingkat pendidikan maka akan semakin tinggi tekanan psikis yang akan dialami, tekanan tersebut di antaranya dapat menimbulkan kecemasan. Studi ini bertujuan untuk mengetahui jenis intervensi non farmakologis yang efektif untuk mengurangi kecemasan pada mahasiswa. Kriteria inklusi berupa artikel menggunakan bahasa Inggris dan / atau Indonesia, full-text, mahasiswa sebagai sampel penelitian, dan publikasi artikel selama 10 tahun terakhir (2011-2021). Kata kunci pencarian artikel berbahasa Indonesia menggunakan “mahasiswa” DAN “terapi non farmakologis” DAN “kecemasan akademik”, sedangkan artikel berbahasa inggris menggunakan “college student” “non pharmacological therapy” OR “non pharmacological intervention” AND “academic anxiety”. Total hasil pencarian artikel dari database PubMed, Springer, dan searching engine Google Scholar adalah sebanyak 19,037 artikel. Setelah penyeleksian didapatkan 7 artikel yang digunakan dan didalamnya memuat 5 buah program intervensi (inhalasi aromaterapi peppermint, relaksasi otot progresif, mendengarkan bacaan Al-Qur’an, mindfulness-based stress reduction (MBSR), dan imajinasi terbimbing). Studi literatur menunjukkan semua program dinyatakan efektif dapat mengurangi kecemasan pada mahasiswa. Penulis menyarankan bagi peneliti selanjutnya, diharapkan untuk mengembangkan intervensi non farmakologis lainnya yang dapat digunakan untuk mengatasi kecemasan pada mahasiswa.","author":[{"dropping-particle":"","family":"Gerliandi","given":"Gerald Betharayoga","non-dropping-particle":"","parse-names":false,"suffix":""},{"dropping-particle":"","family":"Maniatunufus","given":"","non-dropping-particle":"","parse-names":false,"suffix":""},{"dropping-particle":"","family":"Pratiwi","given":"Risma Dwi Nur","non-dropping-particle":"","parse-names":false,"suffix":""},{"dropping-particle":"","family":"Agustina","given":"habsyah Saparidah","non-dropping-particle":"","parse-names":false,"suffix":""}],"container-title":"Jurnal Keperawatan BSI","id":"ITEM-1","issue":"2","issued":{"date-parts":[["2021"]]},"page":"234-245","title":"Intervensi non-farmakologis untuk mengurangi kecemasn pada mahasiswa: sebuah narrative review","type":"article-journal","volume":"9"},"uris":["http://www.mendeley.com/documents/?uuid=9ba475c8-5d39-4173-a9e1-8f50b4d0db7b"]}],"mendeley":{"formattedCitation":"(Gerliandi et al., 2021)","plainTextFormattedCitation":"(Gerliandi et al., 2021)","previouslyFormattedCitation":"(Gerliandi et al., 2021)"},"properties":{"noteIndex":0},"schema":"https://github.com/citation-style-language/schema/raw/master/csl-citation.json"}</w:instrText>
      </w:r>
      <w:r w:rsidRPr="004E2B6D">
        <w:rPr>
          <w:rFonts w:ascii="Times New Roman" w:eastAsia="Times New Roman" w:hAnsi="Times New Roman" w:cs="Times New Roman"/>
          <w:sz w:val="24"/>
          <w:szCs w:val="24"/>
        </w:rPr>
        <w:fldChar w:fldCharType="separate"/>
      </w:r>
      <w:r w:rsidRPr="004E2B6D">
        <w:rPr>
          <w:rFonts w:ascii="Times New Roman" w:eastAsia="Times New Roman" w:hAnsi="Times New Roman" w:cs="Times New Roman"/>
          <w:noProof/>
          <w:sz w:val="24"/>
          <w:szCs w:val="24"/>
        </w:rPr>
        <w:t>(Gerliandi et al., 2021)</w:t>
      </w:r>
      <w:r w:rsidRPr="004E2B6D">
        <w:rPr>
          <w:rFonts w:ascii="Times New Roman" w:eastAsia="Times New Roman" w:hAnsi="Times New Roman" w:cs="Times New Roman"/>
          <w:sz w:val="24"/>
          <w:szCs w:val="24"/>
        </w:rPr>
        <w:fldChar w:fldCharType="end"/>
      </w:r>
      <w:r w:rsidRPr="004E2B6D">
        <w:rPr>
          <w:rFonts w:ascii="Times New Roman" w:eastAsia="Times New Roman" w:hAnsi="Times New Roman" w:cs="Times New Roman"/>
          <w:sz w:val="24"/>
          <w:szCs w:val="24"/>
        </w:rPr>
        <w:t xml:space="preserve">. Intervensi teknik relaksasi cukup sesuai untuk mengatasi kecemasan pada pasien pre atau post operasi </w:t>
      </w:r>
      <w:r w:rsidRPr="004E2B6D">
        <w:rPr>
          <w:rFonts w:ascii="Times New Roman" w:eastAsia="Times New Roman" w:hAnsi="Times New Roman" w:cs="Times New Roman"/>
          <w:sz w:val="24"/>
          <w:szCs w:val="24"/>
        </w:rPr>
        <w:fldChar w:fldCharType="begin" w:fldLock="1"/>
      </w:r>
      <w:r w:rsidRPr="004E2B6D">
        <w:rPr>
          <w:rFonts w:ascii="Times New Roman" w:eastAsia="Times New Roman" w:hAnsi="Times New Roman" w:cs="Times New Roman"/>
          <w:sz w:val="24"/>
          <w:szCs w:val="24"/>
        </w:rPr>
        <w:instrText>ADDIN CSL_CITATION {"citationItems":[{"id":"ITEM-1","itemData":{"DOI":"10.56359/igj.v1i2.66","abstract":"Tujuan: Untuk menggambarkan intervensi teknik relaksasi terhadap masalah ansietas pada pasien pre-post operasi tumor mammae sinistra. Metode: Penelitian dilakukan dengan menggunakan pendekatan studi kasus dalam proses keperawatan yang mencakup pengkajian, penentuan diagnosa, intervensi, implementasi dan evaluasi. Diagnosa keperawatan berdasarkan Standar Diagnosa Keperawatan Indonesia (SDKI), sedangkan Intervensi Keperawatan berdasarkan Standar Intervensi Keperawatan Indonesia (SIKI). Adapun Kriteria hasil yang diharapkan berpedoman pada Standar Luaran Keperawatan Indonesia (SLKI) Hasil: Intervensi sesuai dengan target dan standar yang telah ditentukan sehingga kecemasan berkurang. Kesimpulan: Penelitian ini menunjukan bahwa intervensi teknik relaksasi cukup sesuai untuk mengatasi kecemasan pada pasien pre atau post operasi, sehingga dapat dijadikan sebagai rujukan untuk melakukan penelitian yang akan datang. Selain itu, penelitian ini menjadi salah satu alternatif intervensi keperawatan yang dapat diterapkan di rumah sakit maupun klinik.","author":[{"dropping-particle":"","family":"Lismayanti","given":"Lilis","non-dropping-particle":"","parse-names":false,"suffix":""},{"dropping-particle":"","family":"Dwi Gandiny","given":"Elya","non-dropping-particle":"","parse-names":false,"suffix":""},{"dropping-particle":"","family":"Fitriani","given":"Ade","non-dropping-particle":"","parse-names":false,"suffix":""},{"dropping-particle":"","family":"Srinayanti","given":"Yanti","non-dropping-particle":"","parse-names":false,"suffix":""},{"dropping-particle":"","family":"Suhanda","given":"","non-dropping-particle":"","parse-names":false,"suffix":""}],"container-title":"Indogenius","id":"ITEM-1","issue":"2","issued":{"date-parts":[["2022"]]},"page":"58-66","title":"Teknik Relaksasi untuk Menurunkan Kecemasan pada Pasien Pre-post Operasi Tumor Mammae Sinistra","type":"article-journal","volume":"1"},"uris":["http://www.mendeley.com/documents/?uuid=74262828-0e4d-466e-97ac-e8454c47fea9"]}],"mendeley":{"formattedCitation":"(Lismayanti et al., 2022)","plainTextFormattedCitation":"(Lismayanti et al., 2022)","previouslyFormattedCitation":"(Lismayanti et al., 2022)"},"properties":{"noteIndex":0},"schema":"https://github.com/citation-style-language/schema/raw/master/csl-citation.json"}</w:instrText>
      </w:r>
      <w:r w:rsidRPr="004E2B6D">
        <w:rPr>
          <w:rFonts w:ascii="Times New Roman" w:eastAsia="Times New Roman" w:hAnsi="Times New Roman" w:cs="Times New Roman"/>
          <w:sz w:val="24"/>
          <w:szCs w:val="24"/>
        </w:rPr>
        <w:fldChar w:fldCharType="separate"/>
      </w:r>
      <w:r w:rsidRPr="004E2B6D">
        <w:rPr>
          <w:rFonts w:ascii="Times New Roman" w:eastAsia="Times New Roman" w:hAnsi="Times New Roman" w:cs="Times New Roman"/>
          <w:noProof/>
          <w:sz w:val="24"/>
          <w:szCs w:val="24"/>
        </w:rPr>
        <w:t>(Lismayanti et al., 2022)</w:t>
      </w:r>
      <w:r w:rsidRPr="004E2B6D">
        <w:rPr>
          <w:rFonts w:ascii="Times New Roman" w:eastAsia="Times New Roman" w:hAnsi="Times New Roman" w:cs="Times New Roman"/>
          <w:sz w:val="24"/>
          <w:szCs w:val="24"/>
        </w:rPr>
        <w:fldChar w:fldCharType="end"/>
      </w:r>
      <w:r w:rsidRPr="004E2B6D">
        <w:rPr>
          <w:rFonts w:ascii="Times New Roman" w:eastAsia="Times New Roman" w:hAnsi="Times New Roman" w:cs="Times New Roman"/>
          <w:sz w:val="24"/>
          <w:szCs w:val="24"/>
        </w:rPr>
        <w:t xml:space="preserve">. </w:t>
      </w:r>
      <w:r w:rsidR="00F94699" w:rsidRPr="004E2B6D">
        <w:rPr>
          <w:rFonts w:ascii="Times New Roman" w:eastAsia="Times New Roman" w:hAnsi="Times New Roman" w:cs="Times New Roman"/>
          <w:sz w:val="24"/>
          <w:szCs w:val="24"/>
        </w:rPr>
        <w:t xml:space="preserve">Teknik relaksasi dapat dilakukan dengan cara memberikan hipnoterapi. Pemberian hipnoterapi pada pasien pre operasi dapat menurunkan kecemasan </w:t>
      </w:r>
      <w:r w:rsidR="00F94699" w:rsidRPr="004E2B6D">
        <w:rPr>
          <w:rFonts w:ascii="Times New Roman" w:eastAsia="Times New Roman" w:hAnsi="Times New Roman" w:cs="Times New Roman"/>
          <w:sz w:val="24"/>
          <w:szCs w:val="24"/>
        </w:rPr>
        <w:fldChar w:fldCharType="begin" w:fldLock="1"/>
      </w:r>
      <w:r w:rsidR="00F94699" w:rsidRPr="004E2B6D">
        <w:rPr>
          <w:rFonts w:ascii="Times New Roman" w:eastAsia="Times New Roman" w:hAnsi="Times New Roman" w:cs="Times New Roman"/>
          <w:sz w:val="24"/>
          <w:szCs w:val="24"/>
        </w:rPr>
        <w:instrText>ADDIN CSL_CITATION {"citationItems":[{"id":"ITEM-1","itemData":{"DOI":"10.1186/s13063-020-4222-6","ISSN":"17456215","PMID":"32293517","abstract":"Background: Different non-pharmacological techniques, including hypnosis and virtual reality (VR) are currently used as complementary tools in the treatment of anxiety, acute and chronic pain. A new technique called virtual reality hypnosis (VRH), which encompasses a combination of both tools, is regularly used although its benefits and underlying mechanisms remain unknown to date. With the goal to improve our understanding of VRH combination effects, it is necessary to conduct randomised and controlled research trials in order to understand their clinical interest and potential benefits. Methods: Patients (n = 100) undergoing cardiac surgery at the Liège University Hospital will be randomly assigned to one of four conditions (control, hypnosis, VR or VRH). Each patient will receive two sessions of one of the techniques: One the day before the surgery and one the day after. Physiological assessments will be made on the monitor and patients will rate their levels of anxiety, fatigue, pain, absorption and dissociation. Discussion: This study will help to expand knowledge on the application of virtual reality, hypnosis and VRH in the specific context of cardiac and intensive care procedures, and the influence of these non-pharmacological techniques on patient's anxiety, fatigue, pain and phenomenological experience. Trial registration: ClinicalTrials.gov: NCT03820700. Date registered on 29 January 2019. Study recruitment date: October 6, 2018. Study anticipated completion date: December 28, 2020.","author":[{"dropping-particle":"","family":"Rousseaux","given":"Floriane","non-dropping-particle":"","parse-names":false,"suffix":""},{"dropping-particle":"","family":"Faymonville","given":"Marie Elisabeth","non-dropping-particle":"","parse-names":false,"suffix":""},{"dropping-particle":"","family":"Nyssen","given":"Anne Sophie","non-dropping-particle":"","parse-names":false,"suffix":""},{"dropping-particle":"","family":"Dardenne","given":"Nadia","non-dropping-particle":"","parse-names":false,"suffix":""},{"dropping-particle":"","family":"Ledoux","given":"Didier","non-dropping-particle":"","parse-names":false,"suffix":""},{"dropping-particle":"","family":"Massion","given":"Paul B.","non-dropping-particle":"","parse-names":false,"suffix":""},{"dropping-particle":"","family":"Vanhaudenhuyse","given":"Audrey","non-dropping-particle":"","parse-names":false,"suffix":""}],"container-title":"Trials","id":"ITEM-1","issue":"1","issued":{"date-parts":[["2020"]]},"page":"1-9","publisher":"Trials","title":"Can hypnosis and virtual reality reduce anxiety, pain and fatigue among patients who undergo cardiac surgery: A randomised controlled trial","type":"article-journal","volume":"21"},"uris":["http://www.mendeley.com/documents/?uuid=ae505c28-3123-4dfa-a9dd-bddec9bc8530"]},{"id":"ITEM-2","itemData":{"DOI":"10.1016/j.ijscr.2022.106961","ISSN":"22102612","abstract":"Introduction and importance: The cancer-related psychological stress may causes anxiety in patients. The present study aimed to determine the effect of hypnotherapy on the hospital anxiety in children with cancer. Case presentation: This is a case report, in which a total of 3 female children with cancer were recruited using voluntary response sampling. Classical hypnotherapy was conducted for patients in eight treatment sessions with a one-month post-intervention follow-up. Participants completed the Hospital Anxiety and Depression Scale (HADS) at five stages including before the intervention, third, fifth and eighth hypnotherapy sessions, and one month after the intervention. Data analysis was conducted using a statistical report on the recovery rate and effect size. Clinical discussion: The results showed that hypnotherapy had a significant and positive effect on the hospital anxiety, in the treatment and follow-up stages. Conclusions: Based upon the results, it can be stated that hypnotherapy is a promising approach in reducing the hospital anxiety in children with cancer.","author":[{"dropping-particle":"","family":"Talebiazar","given":"Nasim","non-dropping-particle":"","parse-names":false,"suffix":""},{"dropping-particle":"","family":"Choobianzali","given":"Babak","non-dropping-particle":"","parse-names":false,"suffix":""},{"dropping-particle":"","family":"Hassanpour","given":"Amireh","non-dropping-particle":"","parse-names":false,"suffix":""},{"dropping-particle":"","family":"Goli","given":"Rasoul","non-dropping-particle":"","parse-names":false,"suffix":""},{"dropping-particle":"","family":"Shakorzadeh","given":"Sina","non-dropping-particle":"","parse-names":false,"suffix":""},{"dropping-particle":"","family":"Ghalandari","given":"Mahmoodreza","non-dropping-particle":"","parse-names":false,"suffix":""}],"container-title":"International Journal of Surgery Case Reports","id":"ITEM-2","issue":"March","issued":{"date-parts":[["2022"]]},"page":"106961","publisher":"Elsevier Ltd","title":"The effect of hypnotherapy on the hospital anxiety in three children with cancer: A case report","type":"article-journal","volume":"93"},"uris":["http://www.mendeley.com/documents/?uuid=c65d9c83-02ce-450d-9203-d6b9c6dd4b33"]}],"mendeley":{"formattedCitation":"(Rousseaux et al., 2020; Talebiazar et al., 2022)","plainTextFormattedCitation":"(Rousseaux et al., 2020; Talebiazar et al., 2022)","previouslyFormattedCitation":"(Daryanti &amp; Mardiana, 2020; Talebiazar et al., 2022)"},"properties":{"noteIndex":0},"schema":"https://github.com/citation-style-language/schema/raw/master/csl-citation.json"}</w:instrText>
      </w:r>
      <w:r w:rsidR="00F94699" w:rsidRPr="004E2B6D">
        <w:rPr>
          <w:rFonts w:ascii="Times New Roman" w:eastAsia="Times New Roman" w:hAnsi="Times New Roman" w:cs="Times New Roman"/>
          <w:sz w:val="24"/>
          <w:szCs w:val="24"/>
        </w:rPr>
        <w:fldChar w:fldCharType="separate"/>
      </w:r>
      <w:r w:rsidR="00F94699" w:rsidRPr="004E2B6D">
        <w:rPr>
          <w:rFonts w:ascii="Times New Roman" w:eastAsia="Times New Roman" w:hAnsi="Times New Roman" w:cs="Times New Roman"/>
          <w:noProof/>
          <w:sz w:val="24"/>
          <w:szCs w:val="24"/>
        </w:rPr>
        <w:t>(Rousseaux et al., 2020; Talebiazar et al., 2022)</w:t>
      </w:r>
      <w:r w:rsidR="00F94699" w:rsidRPr="004E2B6D">
        <w:rPr>
          <w:rFonts w:ascii="Times New Roman" w:eastAsia="Times New Roman" w:hAnsi="Times New Roman" w:cs="Times New Roman"/>
          <w:sz w:val="24"/>
          <w:szCs w:val="24"/>
        </w:rPr>
        <w:fldChar w:fldCharType="end"/>
      </w:r>
      <w:r w:rsidR="00F94699" w:rsidRPr="004E2B6D">
        <w:rPr>
          <w:rFonts w:ascii="Times New Roman" w:eastAsia="Times New Roman" w:hAnsi="Times New Roman" w:cs="Times New Roman"/>
          <w:sz w:val="24"/>
          <w:szCs w:val="24"/>
        </w:rPr>
        <w:t>.</w:t>
      </w:r>
    </w:p>
    <w:p w14:paraId="36C2CA8A" w14:textId="137776C7" w:rsidR="00A65B26" w:rsidRPr="004E2B6D" w:rsidRDefault="00FF7B9A" w:rsidP="004D66B8">
      <w:pPr>
        <w:spacing w:after="0" w:line="240" w:lineRule="auto"/>
        <w:ind w:firstLine="567"/>
        <w:jc w:val="both"/>
        <w:rPr>
          <w:rFonts w:ascii="Times New Roman" w:eastAsia="Times New Roman" w:hAnsi="Times New Roman" w:cs="Times New Roman"/>
          <w:sz w:val="24"/>
          <w:szCs w:val="24"/>
        </w:rPr>
      </w:pPr>
      <w:r w:rsidRPr="004E2B6D">
        <w:rPr>
          <w:rFonts w:ascii="Times New Roman" w:eastAsia="Times New Roman" w:hAnsi="Times New Roman" w:cs="Times New Roman"/>
          <w:sz w:val="24"/>
          <w:szCs w:val="24"/>
        </w:rPr>
        <w:t xml:space="preserve">Kecemasan yang dialami oleh pasien pre operasi yang akan menyebabkan penundaan tindakan operasi. Penundaan tindakan operasi akan mempengaruhi kinerja para perawat yang akan berdampak pada kualitas pelayanan yang diberikan kepada pasien. Hal tersebut sebagai dasar penelitian ini dilakukan. </w:t>
      </w:r>
      <w:r w:rsidR="00A65B26" w:rsidRPr="004E2B6D">
        <w:rPr>
          <w:rFonts w:ascii="Times New Roman" w:hAnsi="Times New Roman" w:cs="Times New Roman"/>
          <w:sz w:val="24"/>
          <w:szCs w:val="24"/>
        </w:rPr>
        <w:t>Penelitian dilakukan bertujuan untuk mengetahui apa saja faktor-faktor yang mempengaruhi tingkat kecemasan pasien pre operasi di RSPAL dr. Ramelan.</w:t>
      </w:r>
      <w:r w:rsidRPr="004E2B6D">
        <w:rPr>
          <w:rFonts w:ascii="Times New Roman" w:hAnsi="Times New Roman" w:cs="Times New Roman"/>
          <w:sz w:val="24"/>
          <w:szCs w:val="24"/>
        </w:rPr>
        <w:t xml:space="preserve"> Sehingga para perawat dengan mudah memberikan pencegahan untuk mengurangi kecemasan pada pasien pre operasi untuk mempertahankan kualitas pelayanan kesehatan.</w:t>
      </w:r>
    </w:p>
    <w:p w14:paraId="53637E49" w14:textId="18595947" w:rsidR="00A65B26" w:rsidRPr="004E2B6D" w:rsidRDefault="00A65B26" w:rsidP="00935D74">
      <w:pPr>
        <w:spacing w:before="240" w:after="0" w:line="240" w:lineRule="auto"/>
        <w:rPr>
          <w:rFonts w:ascii="Times New Roman" w:hAnsi="Times New Roman" w:cs="Times New Roman"/>
          <w:b/>
          <w:sz w:val="24"/>
          <w:szCs w:val="24"/>
          <w:lang w:val="en-US"/>
        </w:rPr>
      </w:pPr>
      <w:r w:rsidRPr="004E2B6D">
        <w:rPr>
          <w:rFonts w:ascii="Times New Roman" w:hAnsi="Times New Roman" w:cs="Times New Roman"/>
          <w:b/>
          <w:sz w:val="24"/>
          <w:szCs w:val="24"/>
          <w:lang w:val="en-US"/>
        </w:rPr>
        <w:t>METODE PENELITIAN</w:t>
      </w:r>
    </w:p>
    <w:p w14:paraId="2AF08964" w14:textId="17C88486" w:rsidR="00A65B26" w:rsidRPr="004E2B6D" w:rsidRDefault="00A65B26" w:rsidP="00935D74">
      <w:pPr>
        <w:pStyle w:val="ListParagraph"/>
        <w:ind w:left="0" w:firstLine="567"/>
        <w:jc w:val="both"/>
        <w:rPr>
          <w:iCs/>
          <w:szCs w:val="24"/>
        </w:rPr>
      </w:pPr>
      <w:r w:rsidRPr="004E2B6D">
        <w:rPr>
          <w:szCs w:val="24"/>
        </w:rPr>
        <w:t xml:space="preserve">Desain penelitian menggunakan </w:t>
      </w:r>
      <w:r w:rsidRPr="004E2B6D">
        <w:rPr>
          <w:i/>
          <w:szCs w:val="24"/>
        </w:rPr>
        <w:t>deskripsi korelasi</w:t>
      </w:r>
      <w:r w:rsidRPr="004E2B6D">
        <w:rPr>
          <w:szCs w:val="24"/>
        </w:rPr>
        <w:t xml:space="preserve"> dan </w:t>
      </w:r>
      <w:r w:rsidRPr="004E2B6D">
        <w:rPr>
          <w:i/>
          <w:szCs w:val="24"/>
        </w:rPr>
        <w:t>cross sectional.</w:t>
      </w:r>
      <w:r w:rsidRPr="004E2B6D">
        <w:rPr>
          <w:szCs w:val="24"/>
        </w:rPr>
        <w:t xml:space="preserve"> Populasi pasien pre operasi di RSPAL dr. Ramelan </w:t>
      </w:r>
      <w:r w:rsidRPr="004E2B6D">
        <w:rPr>
          <w:bCs/>
          <w:szCs w:val="24"/>
        </w:rPr>
        <w:t xml:space="preserve">bulan </w:t>
      </w:r>
      <w:r w:rsidR="00FF7B9A" w:rsidRPr="004E2B6D">
        <w:rPr>
          <w:bCs/>
          <w:szCs w:val="24"/>
        </w:rPr>
        <w:t>Mei-Juni</w:t>
      </w:r>
      <w:r w:rsidRPr="004E2B6D">
        <w:rPr>
          <w:bCs/>
          <w:szCs w:val="24"/>
        </w:rPr>
        <w:t xml:space="preserve"> 20</w:t>
      </w:r>
      <w:r w:rsidR="00FF7B9A" w:rsidRPr="004E2B6D">
        <w:rPr>
          <w:bCs/>
          <w:szCs w:val="24"/>
        </w:rPr>
        <w:t>22</w:t>
      </w:r>
      <w:r w:rsidRPr="004E2B6D">
        <w:rPr>
          <w:szCs w:val="24"/>
        </w:rPr>
        <w:t xml:space="preserve">. Teknik pengambilan sampel dengan teknik </w:t>
      </w:r>
      <w:r w:rsidRPr="004E2B6D">
        <w:rPr>
          <w:i/>
          <w:iCs/>
          <w:szCs w:val="24"/>
        </w:rPr>
        <w:t xml:space="preserve">purposive sampling </w:t>
      </w:r>
      <w:r w:rsidRPr="004E2B6D">
        <w:rPr>
          <w:iCs/>
          <w:szCs w:val="24"/>
        </w:rPr>
        <w:t xml:space="preserve">sebanyak 46 responden. </w:t>
      </w:r>
      <w:r w:rsidRPr="004E2B6D">
        <w:rPr>
          <w:szCs w:val="24"/>
        </w:rPr>
        <w:t xml:space="preserve">Pada pengambilan sampel dalam penelitian ini berdasarkan kriteria inklusi dan eksklusi, yaitu: 1) Kriteria </w:t>
      </w:r>
      <w:r w:rsidRPr="004E2B6D">
        <w:rPr>
          <w:szCs w:val="24"/>
        </w:rPr>
        <w:lastRenderedPageBreak/>
        <w:t xml:space="preserve">inklusi; a) Pasien yang akan menjalani operasi di RSPAL dr. Ramelan; b) </w:t>
      </w:r>
      <w:r w:rsidR="003A0FCD" w:rsidRPr="004E2B6D">
        <w:rPr>
          <w:szCs w:val="24"/>
        </w:rPr>
        <w:t>Klien</w:t>
      </w:r>
      <w:r w:rsidR="003A0FCD" w:rsidRPr="004E2B6D">
        <w:rPr>
          <w:spacing w:val="-1"/>
          <w:szCs w:val="24"/>
        </w:rPr>
        <w:t xml:space="preserve"> </w:t>
      </w:r>
      <w:r w:rsidR="003A0FCD" w:rsidRPr="004E2B6D">
        <w:rPr>
          <w:szCs w:val="24"/>
        </w:rPr>
        <w:t>dengan</w:t>
      </w:r>
      <w:r w:rsidR="003A0FCD" w:rsidRPr="004E2B6D">
        <w:rPr>
          <w:spacing w:val="-1"/>
          <w:szCs w:val="24"/>
        </w:rPr>
        <w:t xml:space="preserve"> </w:t>
      </w:r>
      <w:r w:rsidR="003A0FCD" w:rsidRPr="004E2B6D">
        <w:rPr>
          <w:szCs w:val="24"/>
        </w:rPr>
        <w:t>kesadaran</w:t>
      </w:r>
      <w:r w:rsidR="003A0FCD" w:rsidRPr="004E2B6D">
        <w:rPr>
          <w:spacing w:val="2"/>
          <w:szCs w:val="24"/>
        </w:rPr>
        <w:t xml:space="preserve"> </w:t>
      </w:r>
      <w:r w:rsidR="003A0FCD" w:rsidRPr="004E2B6D">
        <w:rPr>
          <w:szCs w:val="24"/>
        </w:rPr>
        <w:t>komposmentis</w:t>
      </w:r>
      <w:r w:rsidRPr="004E2B6D">
        <w:rPr>
          <w:szCs w:val="24"/>
        </w:rPr>
        <w:t xml:space="preserve">; c) Pasien bersedia menjadi responden; d) Pasien dengan usia diatas 17 tahun dan kurang dari </w:t>
      </w:r>
      <w:r w:rsidR="003A0FCD" w:rsidRPr="004E2B6D">
        <w:rPr>
          <w:szCs w:val="24"/>
        </w:rPr>
        <w:t>50</w:t>
      </w:r>
      <w:r w:rsidRPr="004E2B6D">
        <w:rPr>
          <w:szCs w:val="24"/>
        </w:rPr>
        <w:t xml:space="preserve"> tahun. 2) Kriteria Eksklusi; a) Pasien dalam kondisi gawat darurat; b</w:t>
      </w:r>
      <w:r w:rsidRPr="004E2B6D">
        <w:rPr>
          <w:szCs w:val="24"/>
          <w:lang w:val="it-IT"/>
        </w:rPr>
        <w:t xml:space="preserve">) </w:t>
      </w:r>
      <w:r w:rsidRPr="004E2B6D">
        <w:rPr>
          <w:szCs w:val="24"/>
        </w:rPr>
        <w:t xml:space="preserve"> Pasien kurang kooperatif; c)  Pasien dalam kondisi koma. </w:t>
      </w:r>
      <w:r w:rsidRPr="004E2B6D">
        <w:rPr>
          <w:iCs/>
          <w:szCs w:val="24"/>
        </w:rPr>
        <w:t xml:space="preserve">Variabel bebas </w:t>
      </w:r>
      <w:r w:rsidR="00633552" w:rsidRPr="004E2B6D">
        <w:rPr>
          <w:iCs/>
          <w:szCs w:val="24"/>
        </w:rPr>
        <w:t>dalam penelitian ini meliputi usia, jenis kelamin,</w:t>
      </w:r>
      <w:r w:rsidR="008233FE" w:rsidRPr="004E2B6D">
        <w:rPr>
          <w:iCs/>
          <w:szCs w:val="24"/>
        </w:rPr>
        <w:t xml:space="preserve"> pendidikan,</w:t>
      </w:r>
      <w:r w:rsidR="00633552" w:rsidRPr="004E2B6D">
        <w:rPr>
          <w:iCs/>
          <w:szCs w:val="24"/>
        </w:rPr>
        <w:t xml:space="preserve"> pekerjaan, </w:t>
      </w:r>
      <w:r w:rsidR="008233FE" w:rsidRPr="004E2B6D">
        <w:rPr>
          <w:iCs/>
          <w:szCs w:val="24"/>
        </w:rPr>
        <w:t>dan frekuensi operasi. Sedangkan variabel terikat dalam penelitian ini adalah kecemasan</w:t>
      </w:r>
      <w:r w:rsidRPr="004E2B6D">
        <w:rPr>
          <w:iCs/>
          <w:szCs w:val="24"/>
        </w:rPr>
        <w:t xml:space="preserve">. Instrumen menggunakan kuesioner yang sudah dilakukan uji validitas serta realibilitas oleh peneliti sebelumnya. </w:t>
      </w:r>
      <w:r w:rsidRPr="004E2B6D">
        <w:rPr>
          <w:szCs w:val="24"/>
        </w:rPr>
        <w:t xml:space="preserve">Kuesioner VAS-A telah dilakukan uji validitas dan reabilitas </w:t>
      </w:r>
      <w:r w:rsidR="008233FE" w:rsidRPr="004E2B6D">
        <w:rPr>
          <w:szCs w:val="24"/>
        </w:rPr>
        <w:t>menunjukkan instrumen VAS-A terbukti menunjukkan angka korelasi yang signifikan. VAS-A memiliki korelasi yang signifikan dengan STAI dengan nilai p&lt;0,0001 dan koefisien kolerasi berkisar 0,50</w:t>
      </w:r>
      <w:r w:rsidR="00AB0696" w:rsidRPr="004E2B6D">
        <w:rPr>
          <w:szCs w:val="24"/>
        </w:rPr>
        <w:t>. A</w:t>
      </w:r>
      <w:r w:rsidRPr="004E2B6D">
        <w:rPr>
          <w:iCs/>
          <w:szCs w:val="24"/>
        </w:rPr>
        <w:t xml:space="preserve">nalisis data dengan uji </w:t>
      </w:r>
      <w:r w:rsidRPr="004E2B6D">
        <w:rPr>
          <w:i/>
          <w:iCs/>
          <w:szCs w:val="24"/>
        </w:rPr>
        <w:t xml:space="preserve">chi square </w:t>
      </w:r>
      <w:r w:rsidRPr="004E2B6D">
        <w:rPr>
          <w:szCs w:val="24"/>
        </w:rPr>
        <w:t>dengan nilai p &lt; 0,05.</w:t>
      </w:r>
    </w:p>
    <w:p w14:paraId="41374C9A" w14:textId="295F5467" w:rsidR="00A65B26" w:rsidRPr="004E2B6D" w:rsidRDefault="00A65B26" w:rsidP="00935D74">
      <w:pPr>
        <w:spacing w:before="240" w:after="0" w:line="240" w:lineRule="auto"/>
        <w:jc w:val="both"/>
        <w:rPr>
          <w:rFonts w:ascii="Times New Roman" w:hAnsi="Times New Roman" w:cs="Times New Roman"/>
          <w:b/>
          <w:bCs/>
          <w:sz w:val="24"/>
          <w:szCs w:val="24"/>
        </w:rPr>
      </w:pPr>
      <w:r w:rsidRPr="004E2B6D">
        <w:rPr>
          <w:rFonts w:ascii="Times New Roman" w:hAnsi="Times New Roman" w:cs="Times New Roman"/>
          <w:b/>
          <w:bCs/>
          <w:sz w:val="24"/>
          <w:szCs w:val="24"/>
        </w:rPr>
        <w:t>HASIL</w:t>
      </w:r>
      <w:r w:rsidR="00AB0696" w:rsidRPr="004E2B6D">
        <w:rPr>
          <w:rFonts w:ascii="Times New Roman" w:hAnsi="Times New Roman" w:cs="Times New Roman"/>
          <w:b/>
          <w:bCs/>
          <w:sz w:val="24"/>
          <w:szCs w:val="24"/>
        </w:rPr>
        <w:t xml:space="preserve"> PENELITIAN</w:t>
      </w:r>
    </w:p>
    <w:p w14:paraId="37C6CF95" w14:textId="7FF26E94" w:rsidR="00793D5F" w:rsidRPr="004E2B6D" w:rsidRDefault="004019CD" w:rsidP="00935D74">
      <w:pPr>
        <w:spacing w:after="0" w:line="240" w:lineRule="auto"/>
        <w:jc w:val="center"/>
        <w:rPr>
          <w:rFonts w:ascii="Times New Roman" w:hAnsi="Times New Roman" w:cs="Times New Roman"/>
          <w:sz w:val="20"/>
          <w:szCs w:val="20"/>
        </w:rPr>
      </w:pPr>
      <w:r w:rsidRPr="004E2B6D">
        <w:rPr>
          <w:rFonts w:ascii="Times New Roman" w:hAnsi="Times New Roman" w:cs="Times New Roman"/>
          <w:sz w:val="20"/>
          <w:szCs w:val="20"/>
        </w:rPr>
        <w:t>Tabel.</w:t>
      </w:r>
      <w:r w:rsidR="00A37E26" w:rsidRPr="004E2B6D">
        <w:rPr>
          <w:rFonts w:ascii="Times New Roman" w:hAnsi="Times New Roman" w:cs="Times New Roman"/>
          <w:sz w:val="20"/>
          <w:szCs w:val="20"/>
        </w:rPr>
        <w:t xml:space="preserve"> 1</w:t>
      </w:r>
    </w:p>
    <w:p w14:paraId="645EA447" w14:textId="30A904B0" w:rsidR="00A65B26" w:rsidRPr="004E2B6D" w:rsidRDefault="00A37E26" w:rsidP="00935D74">
      <w:pPr>
        <w:spacing w:after="0" w:line="240" w:lineRule="auto"/>
        <w:jc w:val="center"/>
        <w:rPr>
          <w:rFonts w:ascii="Times New Roman" w:hAnsi="Times New Roman" w:cs="Times New Roman"/>
          <w:sz w:val="20"/>
          <w:szCs w:val="20"/>
        </w:rPr>
      </w:pPr>
      <w:r w:rsidRPr="004E2B6D">
        <w:rPr>
          <w:rFonts w:ascii="Times New Roman" w:hAnsi="Times New Roman" w:cs="Times New Roman"/>
          <w:sz w:val="20"/>
          <w:szCs w:val="20"/>
        </w:rPr>
        <w:t xml:space="preserve">Distribusi </w:t>
      </w:r>
      <w:r w:rsidR="004019CD" w:rsidRPr="004E2B6D">
        <w:rPr>
          <w:rFonts w:ascii="Times New Roman" w:hAnsi="Times New Roman" w:cs="Times New Roman"/>
          <w:sz w:val="20"/>
          <w:szCs w:val="20"/>
        </w:rPr>
        <w:t>Responden Penelitian</w:t>
      </w:r>
    </w:p>
    <w:p w14:paraId="5F25AD8D" w14:textId="77777777" w:rsidR="004019CD" w:rsidRPr="004E2B6D" w:rsidRDefault="004019CD" w:rsidP="00935D74">
      <w:pPr>
        <w:spacing w:after="0" w:line="240" w:lineRule="auto"/>
        <w:jc w:val="center"/>
        <w:rPr>
          <w:rFonts w:ascii="Times New Roman" w:hAnsi="Times New Roman" w:cs="Times New Roman"/>
          <w:sz w:val="20"/>
          <w:szCs w:val="20"/>
        </w:rPr>
      </w:pPr>
    </w:p>
    <w:tbl>
      <w:tblPr>
        <w:tblStyle w:val="TableGrid"/>
        <w:tblW w:w="7340" w:type="dxa"/>
        <w:jc w:val="center"/>
        <w:tblInd w:w="323" w:type="dxa"/>
        <w:tblBorders>
          <w:left w:val="none" w:sz="0" w:space="0" w:color="auto"/>
          <w:right w:val="none" w:sz="0" w:space="0" w:color="auto"/>
        </w:tblBorders>
        <w:tblLook w:val="04A0" w:firstRow="1" w:lastRow="0" w:firstColumn="1" w:lastColumn="0" w:noHBand="0" w:noVBand="1"/>
      </w:tblPr>
      <w:tblGrid>
        <w:gridCol w:w="2820"/>
        <w:gridCol w:w="2394"/>
        <w:gridCol w:w="2126"/>
      </w:tblGrid>
      <w:tr w:rsidR="004E2B6D" w:rsidRPr="004E2B6D" w14:paraId="73694745" w14:textId="77777777" w:rsidTr="004019CD">
        <w:trPr>
          <w:trHeight w:val="227"/>
          <w:tblHeader/>
          <w:jc w:val="center"/>
        </w:trPr>
        <w:tc>
          <w:tcPr>
            <w:tcW w:w="2820" w:type="dxa"/>
            <w:tcBorders>
              <w:right w:val="nil"/>
            </w:tcBorders>
          </w:tcPr>
          <w:p w14:paraId="4769124D" w14:textId="77777777" w:rsidR="00A65B26" w:rsidRPr="004E2B6D" w:rsidRDefault="00A65B26" w:rsidP="00935D74">
            <w:pPr>
              <w:pStyle w:val="BodyText"/>
              <w:jc w:val="center"/>
              <w:rPr>
                <w:bCs/>
                <w:sz w:val="20"/>
                <w:szCs w:val="20"/>
                <w:lang w:val="en-US"/>
              </w:rPr>
            </w:pPr>
            <w:r w:rsidRPr="004E2B6D">
              <w:rPr>
                <w:bCs/>
                <w:sz w:val="20"/>
                <w:szCs w:val="20"/>
                <w:lang w:val="en-US"/>
              </w:rPr>
              <w:t>Variabel</w:t>
            </w:r>
          </w:p>
        </w:tc>
        <w:tc>
          <w:tcPr>
            <w:tcW w:w="2394" w:type="dxa"/>
            <w:tcBorders>
              <w:left w:val="nil"/>
              <w:right w:val="nil"/>
            </w:tcBorders>
          </w:tcPr>
          <w:p w14:paraId="24EFDEAE" w14:textId="77777777" w:rsidR="00A65B26" w:rsidRPr="004E2B6D" w:rsidRDefault="00A65B26" w:rsidP="00935D74">
            <w:pPr>
              <w:pStyle w:val="BodyText"/>
              <w:jc w:val="center"/>
              <w:rPr>
                <w:bCs/>
                <w:sz w:val="20"/>
                <w:szCs w:val="20"/>
                <w:lang w:val="en-US"/>
              </w:rPr>
            </w:pPr>
            <w:r w:rsidRPr="004E2B6D">
              <w:rPr>
                <w:bCs/>
                <w:sz w:val="20"/>
                <w:szCs w:val="20"/>
                <w:lang w:val="en-US"/>
              </w:rPr>
              <w:t>n</w:t>
            </w:r>
          </w:p>
        </w:tc>
        <w:tc>
          <w:tcPr>
            <w:tcW w:w="2126" w:type="dxa"/>
            <w:tcBorders>
              <w:left w:val="nil"/>
            </w:tcBorders>
          </w:tcPr>
          <w:p w14:paraId="213E705C" w14:textId="77777777" w:rsidR="00A65B26" w:rsidRPr="004E2B6D" w:rsidRDefault="00A65B26" w:rsidP="00935D74">
            <w:pPr>
              <w:pStyle w:val="BodyText"/>
              <w:jc w:val="center"/>
              <w:rPr>
                <w:bCs/>
                <w:sz w:val="20"/>
                <w:szCs w:val="20"/>
                <w:lang w:val="en-US"/>
              </w:rPr>
            </w:pPr>
            <w:r w:rsidRPr="004E2B6D">
              <w:rPr>
                <w:bCs/>
                <w:sz w:val="20"/>
                <w:szCs w:val="20"/>
                <w:lang w:val="en-US"/>
              </w:rPr>
              <w:t>%</w:t>
            </w:r>
          </w:p>
        </w:tc>
      </w:tr>
      <w:tr w:rsidR="004E2B6D" w:rsidRPr="004E2B6D" w14:paraId="37FA3520" w14:textId="77777777" w:rsidTr="004019CD">
        <w:trPr>
          <w:trHeight w:val="227"/>
          <w:jc w:val="center"/>
        </w:trPr>
        <w:tc>
          <w:tcPr>
            <w:tcW w:w="2820" w:type="dxa"/>
            <w:tcBorders>
              <w:bottom w:val="single" w:sz="4" w:space="0" w:color="auto"/>
              <w:right w:val="nil"/>
            </w:tcBorders>
          </w:tcPr>
          <w:p w14:paraId="0CC8EFE4" w14:textId="77777777" w:rsidR="00042A6A" w:rsidRPr="004E2B6D" w:rsidRDefault="00042A6A" w:rsidP="004019CD">
            <w:pPr>
              <w:pStyle w:val="BodyText"/>
              <w:rPr>
                <w:bCs/>
                <w:sz w:val="20"/>
                <w:szCs w:val="20"/>
                <w:lang w:val="en-US"/>
              </w:rPr>
            </w:pPr>
            <w:r w:rsidRPr="004E2B6D">
              <w:rPr>
                <w:bCs/>
                <w:sz w:val="20"/>
                <w:szCs w:val="20"/>
                <w:lang w:val="en-US"/>
              </w:rPr>
              <w:t>Usia</w:t>
            </w:r>
          </w:p>
        </w:tc>
        <w:tc>
          <w:tcPr>
            <w:tcW w:w="2394" w:type="dxa"/>
            <w:tcBorders>
              <w:left w:val="nil"/>
              <w:bottom w:val="single" w:sz="4" w:space="0" w:color="auto"/>
              <w:right w:val="nil"/>
            </w:tcBorders>
          </w:tcPr>
          <w:p w14:paraId="13A7C191" w14:textId="77777777" w:rsidR="00042A6A" w:rsidRPr="004E2B6D" w:rsidRDefault="00042A6A" w:rsidP="00935D74">
            <w:pPr>
              <w:pStyle w:val="BodyText"/>
              <w:rPr>
                <w:bCs/>
                <w:sz w:val="20"/>
                <w:szCs w:val="20"/>
                <w:lang w:val="en-US"/>
              </w:rPr>
            </w:pPr>
          </w:p>
        </w:tc>
        <w:tc>
          <w:tcPr>
            <w:tcW w:w="2126" w:type="dxa"/>
            <w:tcBorders>
              <w:left w:val="nil"/>
              <w:bottom w:val="single" w:sz="4" w:space="0" w:color="auto"/>
            </w:tcBorders>
          </w:tcPr>
          <w:p w14:paraId="28E017B5" w14:textId="43FE45CF" w:rsidR="00042A6A" w:rsidRPr="004E2B6D" w:rsidRDefault="00042A6A" w:rsidP="00935D74">
            <w:pPr>
              <w:pStyle w:val="BodyText"/>
              <w:rPr>
                <w:bCs/>
                <w:sz w:val="20"/>
                <w:szCs w:val="20"/>
                <w:lang w:val="en-US"/>
              </w:rPr>
            </w:pPr>
          </w:p>
        </w:tc>
      </w:tr>
      <w:tr w:rsidR="004E2B6D" w:rsidRPr="004E2B6D" w14:paraId="4ADB2FD0" w14:textId="77777777" w:rsidTr="004019CD">
        <w:trPr>
          <w:trHeight w:val="227"/>
          <w:jc w:val="center"/>
        </w:trPr>
        <w:tc>
          <w:tcPr>
            <w:tcW w:w="2820" w:type="dxa"/>
            <w:tcBorders>
              <w:bottom w:val="nil"/>
              <w:right w:val="nil"/>
            </w:tcBorders>
          </w:tcPr>
          <w:p w14:paraId="14D4D336" w14:textId="77777777" w:rsidR="00A65B26" w:rsidRPr="004E2B6D" w:rsidRDefault="00A65B26" w:rsidP="004019CD">
            <w:pPr>
              <w:pStyle w:val="BodyText"/>
              <w:rPr>
                <w:sz w:val="20"/>
                <w:szCs w:val="20"/>
                <w:lang w:val="en-US"/>
              </w:rPr>
            </w:pPr>
            <w:r w:rsidRPr="004E2B6D">
              <w:rPr>
                <w:sz w:val="20"/>
                <w:szCs w:val="20"/>
                <w:lang w:val="en-US"/>
              </w:rPr>
              <w:t>26-30</w:t>
            </w:r>
          </w:p>
        </w:tc>
        <w:tc>
          <w:tcPr>
            <w:tcW w:w="2394" w:type="dxa"/>
            <w:tcBorders>
              <w:left w:val="nil"/>
              <w:bottom w:val="nil"/>
              <w:right w:val="nil"/>
            </w:tcBorders>
          </w:tcPr>
          <w:p w14:paraId="43B77624" w14:textId="77777777" w:rsidR="00A65B26" w:rsidRPr="004E2B6D" w:rsidRDefault="00A65B26" w:rsidP="00935D74">
            <w:pPr>
              <w:pStyle w:val="BodyText"/>
              <w:jc w:val="center"/>
              <w:rPr>
                <w:sz w:val="20"/>
                <w:szCs w:val="20"/>
                <w:lang w:val="en-US"/>
              </w:rPr>
            </w:pPr>
            <w:r w:rsidRPr="004E2B6D">
              <w:rPr>
                <w:sz w:val="20"/>
                <w:szCs w:val="20"/>
                <w:lang w:val="en-US"/>
              </w:rPr>
              <w:t>1</w:t>
            </w:r>
          </w:p>
        </w:tc>
        <w:tc>
          <w:tcPr>
            <w:tcW w:w="2126" w:type="dxa"/>
            <w:tcBorders>
              <w:left w:val="nil"/>
              <w:bottom w:val="nil"/>
            </w:tcBorders>
          </w:tcPr>
          <w:p w14:paraId="703C0D68" w14:textId="77777777" w:rsidR="00A65B26" w:rsidRPr="004E2B6D" w:rsidRDefault="00A65B26" w:rsidP="00935D74">
            <w:pPr>
              <w:pStyle w:val="BodyText"/>
              <w:jc w:val="center"/>
              <w:rPr>
                <w:sz w:val="20"/>
                <w:szCs w:val="20"/>
                <w:lang w:val="en-US"/>
              </w:rPr>
            </w:pPr>
            <w:r w:rsidRPr="004E2B6D">
              <w:rPr>
                <w:sz w:val="20"/>
                <w:szCs w:val="20"/>
                <w:lang w:val="en-US"/>
              </w:rPr>
              <w:t>2,1</w:t>
            </w:r>
          </w:p>
        </w:tc>
      </w:tr>
      <w:tr w:rsidR="004E2B6D" w:rsidRPr="004E2B6D" w14:paraId="35958522" w14:textId="77777777" w:rsidTr="004019CD">
        <w:trPr>
          <w:trHeight w:val="227"/>
          <w:jc w:val="center"/>
        </w:trPr>
        <w:tc>
          <w:tcPr>
            <w:tcW w:w="2820" w:type="dxa"/>
            <w:tcBorders>
              <w:top w:val="nil"/>
              <w:bottom w:val="nil"/>
              <w:right w:val="nil"/>
            </w:tcBorders>
          </w:tcPr>
          <w:p w14:paraId="55C62118" w14:textId="77777777" w:rsidR="00A65B26" w:rsidRPr="004E2B6D" w:rsidRDefault="00A65B26" w:rsidP="004019CD">
            <w:pPr>
              <w:pStyle w:val="BodyText"/>
              <w:rPr>
                <w:sz w:val="20"/>
                <w:szCs w:val="20"/>
                <w:lang w:val="en-US"/>
              </w:rPr>
            </w:pPr>
            <w:r w:rsidRPr="004E2B6D">
              <w:rPr>
                <w:sz w:val="20"/>
                <w:szCs w:val="20"/>
                <w:lang w:val="en-US"/>
              </w:rPr>
              <w:t>31-40</w:t>
            </w:r>
          </w:p>
        </w:tc>
        <w:tc>
          <w:tcPr>
            <w:tcW w:w="2394" w:type="dxa"/>
            <w:tcBorders>
              <w:top w:val="nil"/>
              <w:left w:val="nil"/>
              <w:bottom w:val="nil"/>
              <w:right w:val="nil"/>
            </w:tcBorders>
          </w:tcPr>
          <w:p w14:paraId="2CF06A17" w14:textId="77777777" w:rsidR="00A65B26" w:rsidRPr="004E2B6D" w:rsidRDefault="00A65B26" w:rsidP="00935D74">
            <w:pPr>
              <w:pStyle w:val="BodyText"/>
              <w:jc w:val="center"/>
              <w:rPr>
                <w:sz w:val="20"/>
                <w:szCs w:val="20"/>
                <w:lang w:val="en-US"/>
              </w:rPr>
            </w:pPr>
            <w:r w:rsidRPr="004E2B6D">
              <w:rPr>
                <w:sz w:val="20"/>
                <w:szCs w:val="20"/>
                <w:lang w:val="en-US"/>
              </w:rPr>
              <w:t>19</w:t>
            </w:r>
          </w:p>
        </w:tc>
        <w:tc>
          <w:tcPr>
            <w:tcW w:w="2126" w:type="dxa"/>
            <w:tcBorders>
              <w:top w:val="nil"/>
              <w:left w:val="nil"/>
              <w:bottom w:val="nil"/>
            </w:tcBorders>
          </w:tcPr>
          <w:p w14:paraId="1E22BC10" w14:textId="77777777" w:rsidR="00A65B26" w:rsidRPr="004E2B6D" w:rsidRDefault="00A65B26" w:rsidP="00935D74">
            <w:pPr>
              <w:pStyle w:val="BodyText"/>
              <w:jc w:val="center"/>
              <w:rPr>
                <w:sz w:val="20"/>
                <w:szCs w:val="20"/>
                <w:lang w:val="en-US"/>
              </w:rPr>
            </w:pPr>
            <w:r w:rsidRPr="004E2B6D">
              <w:rPr>
                <w:sz w:val="20"/>
                <w:szCs w:val="20"/>
                <w:lang w:val="en-US"/>
              </w:rPr>
              <w:t>39,6</w:t>
            </w:r>
          </w:p>
        </w:tc>
      </w:tr>
      <w:tr w:rsidR="004E2B6D" w:rsidRPr="004E2B6D" w14:paraId="3A5251F0" w14:textId="77777777" w:rsidTr="004019CD">
        <w:trPr>
          <w:trHeight w:val="227"/>
          <w:jc w:val="center"/>
        </w:trPr>
        <w:tc>
          <w:tcPr>
            <w:tcW w:w="2820" w:type="dxa"/>
            <w:tcBorders>
              <w:top w:val="nil"/>
              <w:right w:val="nil"/>
            </w:tcBorders>
          </w:tcPr>
          <w:p w14:paraId="44214297" w14:textId="77777777" w:rsidR="00A65B26" w:rsidRPr="004E2B6D" w:rsidRDefault="00A65B26" w:rsidP="004019CD">
            <w:pPr>
              <w:pStyle w:val="BodyText"/>
              <w:rPr>
                <w:sz w:val="20"/>
                <w:szCs w:val="20"/>
                <w:lang w:val="en-US"/>
              </w:rPr>
            </w:pPr>
            <w:r w:rsidRPr="004E2B6D">
              <w:rPr>
                <w:sz w:val="20"/>
                <w:szCs w:val="20"/>
                <w:lang w:val="en-US"/>
              </w:rPr>
              <w:t>41-50</w:t>
            </w:r>
          </w:p>
        </w:tc>
        <w:tc>
          <w:tcPr>
            <w:tcW w:w="2394" w:type="dxa"/>
            <w:tcBorders>
              <w:top w:val="nil"/>
              <w:left w:val="nil"/>
              <w:right w:val="nil"/>
            </w:tcBorders>
          </w:tcPr>
          <w:p w14:paraId="4B048182" w14:textId="77777777" w:rsidR="00A65B26" w:rsidRPr="004E2B6D" w:rsidRDefault="00A65B26" w:rsidP="00935D74">
            <w:pPr>
              <w:pStyle w:val="BodyText"/>
              <w:jc w:val="center"/>
              <w:rPr>
                <w:sz w:val="20"/>
                <w:szCs w:val="20"/>
                <w:lang w:val="en-US"/>
              </w:rPr>
            </w:pPr>
            <w:r w:rsidRPr="004E2B6D">
              <w:rPr>
                <w:sz w:val="20"/>
                <w:szCs w:val="20"/>
                <w:lang w:val="en-US"/>
              </w:rPr>
              <w:t>28</w:t>
            </w:r>
          </w:p>
        </w:tc>
        <w:tc>
          <w:tcPr>
            <w:tcW w:w="2126" w:type="dxa"/>
            <w:tcBorders>
              <w:top w:val="nil"/>
              <w:left w:val="nil"/>
            </w:tcBorders>
          </w:tcPr>
          <w:p w14:paraId="06E92C3A" w14:textId="77777777" w:rsidR="00A65B26" w:rsidRPr="004E2B6D" w:rsidRDefault="00A65B26" w:rsidP="00935D74">
            <w:pPr>
              <w:pStyle w:val="BodyText"/>
              <w:jc w:val="center"/>
              <w:rPr>
                <w:sz w:val="20"/>
                <w:szCs w:val="20"/>
                <w:lang w:val="en-US"/>
              </w:rPr>
            </w:pPr>
            <w:r w:rsidRPr="004E2B6D">
              <w:rPr>
                <w:sz w:val="20"/>
                <w:szCs w:val="20"/>
                <w:lang w:val="en-US"/>
              </w:rPr>
              <w:t>58,3</w:t>
            </w:r>
          </w:p>
        </w:tc>
      </w:tr>
      <w:tr w:rsidR="004E2B6D" w:rsidRPr="004E2B6D" w14:paraId="369B0E1E" w14:textId="77777777" w:rsidTr="004019CD">
        <w:trPr>
          <w:trHeight w:val="227"/>
          <w:jc w:val="center"/>
        </w:trPr>
        <w:tc>
          <w:tcPr>
            <w:tcW w:w="2820" w:type="dxa"/>
            <w:tcBorders>
              <w:bottom w:val="single" w:sz="4" w:space="0" w:color="auto"/>
              <w:right w:val="nil"/>
            </w:tcBorders>
          </w:tcPr>
          <w:p w14:paraId="64D8B208" w14:textId="77777777" w:rsidR="00042A6A" w:rsidRPr="004E2B6D" w:rsidRDefault="00042A6A" w:rsidP="004019CD">
            <w:pPr>
              <w:pStyle w:val="BodyText"/>
              <w:rPr>
                <w:bCs/>
                <w:sz w:val="20"/>
                <w:szCs w:val="20"/>
                <w:lang w:val="en-US"/>
              </w:rPr>
            </w:pPr>
            <w:r w:rsidRPr="004E2B6D">
              <w:rPr>
                <w:bCs/>
                <w:sz w:val="20"/>
                <w:szCs w:val="20"/>
                <w:lang w:val="en-US"/>
              </w:rPr>
              <w:t>Jenis kelamin</w:t>
            </w:r>
          </w:p>
        </w:tc>
        <w:tc>
          <w:tcPr>
            <w:tcW w:w="2394" w:type="dxa"/>
            <w:tcBorders>
              <w:left w:val="nil"/>
              <w:bottom w:val="single" w:sz="4" w:space="0" w:color="auto"/>
              <w:right w:val="nil"/>
            </w:tcBorders>
          </w:tcPr>
          <w:p w14:paraId="6832B95E" w14:textId="77777777" w:rsidR="00042A6A" w:rsidRPr="004E2B6D" w:rsidRDefault="00042A6A" w:rsidP="00935D74">
            <w:pPr>
              <w:pStyle w:val="BodyText"/>
              <w:jc w:val="center"/>
              <w:rPr>
                <w:bCs/>
                <w:sz w:val="20"/>
                <w:szCs w:val="20"/>
                <w:lang w:val="en-US"/>
              </w:rPr>
            </w:pPr>
          </w:p>
        </w:tc>
        <w:tc>
          <w:tcPr>
            <w:tcW w:w="2126" w:type="dxa"/>
            <w:tcBorders>
              <w:left w:val="nil"/>
              <w:bottom w:val="single" w:sz="4" w:space="0" w:color="auto"/>
            </w:tcBorders>
          </w:tcPr>
          <w:p w14:paraId="031E25C1" w14:textId="4760BA52" w:rsidR="00042A6A" w:rsidRPr="004E2B6D" w:rsidRDefault="00042A6A" w:rsidP="00935D74">
            <w:pPr>
              <w:pStyle w:val="BodyText"/>
              <w:jc w:val="center"/>
              <w:rPr>
                <w:bCs/>
                <w:sz w:val="20"/>
                <w:szCs w:val="20"/>
                <w:lang w:val="en-US"/>
              </w:rPr>
            </w:pPr>
          </w:p>
        </w:tc>
      </w:tr>
      <w:tr w:rsidR="004E2B6D" w:rsidRPr="004E2B6D" w14:paraId="02B1B41B" w14:textId="77777777" w:rsidTr="004019CD">
        <w:trPr>
          <w:trHeight w:val="227"/>
          <w:jc w:val="center"/>
        </w:trPr>
        <w:tc>
          <w:tcPr>
            <w:tcW w:w="2820" w:type="dxa"/>
            <w:tcBorders>
              <w:bottom w:val="nil"/>
              <w:right w:val="nil"/>
            </w:tcBorders>
          </w:tcPr>
          <w:p w14:paraId="757966CB" w14:textId="77777777" w:rsidR="00A65B26" w:rsidRPr="004E2B6D" w:rsidRDefault="00A65B26" w:rsidP="004019CD">
            <w:pPr>
              <w:pStyle w:val="BodyText"/>
              <w:rPr>
                <w:sz w:val="20"/>
                <w:szCs w:val="20"/>
                <w:lang w:val="en-US"/>
              </w:rPr>
            </w:pPr>
            <w:r w:rsidRPr="004E2B6D">
              <w:rPr>
                <w:sz w:val="20"/>
                <w:szCs w:val="20"/>
                <w:lang w:val="en-US"/>
              </w:rPr>
              <w:t>Perempuan</w:t>
            </w:r>
          </w:p>
        </w:tc>
        <w:tc>
          <w:tcPr>
            <w:tcW w:w="2394" w:type="dxa"/>
            <w:tcBorders>
              <w:left w:val="nil"/>
              <w:bottom w:val="nil"/>
              <w:right w:val="nil"/>
            </w:tcBorders>
          </w:tcPr>
          <w:p w14:paraId="4D697F0B" w14:textId="77777777" w:rsidR="00A65B26" w:rsidRPr="004E2B6D" w:rsidRDefault="00A65B26" w:rsidP="00935D74">
            <w:pPr>
              <w:pStyle w:val="BodyText"/>
              <w:jc w:val="center"/>
              <w:rPr>
                <w:sz w:val="20"/>
                <w:szCs w:val="20"/>
                <w:lang w:val="en-US"/>
              </w:rPr>
            </w:pPr>
            <w:r w:rsidRPr="004E2B6D">
              <w:rPr>
                <w:sz w:val="20"/>
                <w:szCs w:val="20"/>
                <w:lang w:val="en-US"/>
              </w:rPr>
              <w:t>31</w:t>
            </w:r>
          </w:p>
        </w:tc>
        <w:tc>
          <w:tcPr>
            <w:tcW w:w="2126" w:type="dxa"/>
            <w:tcBorders>
              <w:left w:val="nil"/>
              <w:bottom w:val="nil"/>
            </w:tcBorders>
          </w:tcPr>
          <w:p w14:paraId="633BA83A" w14:textId="77777777" w:rsidR="00A65B26" w:rsidRPr="004E2B6D" w:rsidRDefault="00A65B26" w:rsidP="00935D74">
            <w:pPr>
              <w:pStyle w:val="BodyText"/>
              <w:jc w:val="center"/>
              <w:rPr>
                <w:sz w:val="20"/>
                <w:szCs w:val="20"/>
                <w:lang w:val="en-US"/>
              </w:rPr>
            </w:pPr>
            <w:r w:rsidRPr="004E2B6D">
              <w:rPr>
                <w:sz w:val="20"/>
                <w:szCs w:val="20"/>
                <w:lang w:val="en-US"/>
              </w:rPr>
              <w:t>64,6</w:t>
            </w:r>
          </w:p>
        </w:tc>
      </w:tr>
      <w:tr w:rsidR="004E2B6D" w:rsidRPr="004E2B6D" w14:paraId="6AD3068D" w14:textId="77777777" w:rsidTr="004019CD">
        <w:trPr>
          <w:trHeight w:val="227"/>
          <w:jc w:val="center"/>
        </w:trPr>
        <w:tc>
          <w:tcPr>
            <w:tcW w:w="2820" w:type="dxa"/>
            <w:tcBorders>
              <w:top w:val="nil"/>
              <w:right w:val="nil"/>
            </w:tcBorders>
          </w:tcPr>
          <w:p w14:paraId="76572D06" w14:textId="77777777" w:rsidR="00A65B26" w:rsidRPr="004E2B6D" w:rsidRDefault="00A65B26" w:rsidP="004019CD">
            <w:pPr>
              <w:pStyle w:val="BodyText"/>
              <w:rPr>
                <w:sz w:val="20"/>
                <w:szCs w:val="20"/>
                <w:lang w:val="en-US"/>
              </w:rPr>
            </w:pPr>
            <w:r w:rsidRPr="004E2B6D">
              <w:rPr>
                <w:sz w:val="20"/>
                <w:szCs w:val="20"/>
                <w:lang w:val="en-US"/>
              </w:rPr>
              <w:t>Laki-laki</w:t>
            </w:r>
          </w:p>
        </w:tc>
        <w:tc>
          <w:tcPr>
            <w:tcW w:w="2394" w:type="dxa"/>
            <w:tcBorders>
              <w:top w:val="nil"/>
              <w:left w:val="nil"/>
              <w:right w:val="nil"/>
            </w:tcBorders>
          </w:tcPr>
          <w:p w14:paraId="09672863" w14:textId="77777777" w:rsidR="00A65B26" w:rsidRPr="004E2B6D" w:rsidRDefault="00A65B26" w:rsidP="00935D74">
            <w:pPr>
              <w:pStyle w:val="BodyText"/>
              <w:jc w:val="center"/>
              <w:rPr>
                <w:sz w:val="20"/>
                <w:szCs w:val="20"/>
                <w:lang w:val="en-US"/>
              </w:rPr>
            </w:pPr>
            <w:r w:rsidRPr="004E2B6D">
              <w:rPr>
                <w:sz w:val="20"/>
                <w:szCs w:val="20"/>
                <w:lang w:val="en-US"/>
              </w:rPr>
              <w:t>17</w:t>
            </w:r>
          </w:p>
        </w:tc>
        <w:tc>
          <w:tcPr>
            <w:tcW w:w="2126" w:type="dxa"/>
            <w:tcBorders>
              <w:top w:val="nil"/>
              <w:left w:val="nil"/>
            </w:tcBorders>
          </w:tcPr>
          <w:p w14:paraId="5585030E" w14:textId="77777777" w:rsidR="00A65B26" w:rsidRPr="004E2B6D" w:rsidRDefault="00A65B26" w:rsidP="00935D74">
            <w:pPr>
              <w:pStyle w:val="BodyText"/>
              <w:jc w:val="center"/>
              <w:rPr>
                <w:sz w:val="20"/>
                <w:szCs w:val="20"/>
                <w:lang w:val="en-US"/>
              </w:rPr>
            </w:pPr>
            <w:r w:rsidRPr="004E2B6D">
              <w:rPr>
                <w:sz w:val="20"/>
                <w:szCs w:val="20"/>
                <w:lang w:val="en-US"/>
              </w:rPr>
              <w:t>35,4</w:t>
            </w:r>
          </w:p>
        </w:tc>
      </w:tr>
      <w:tr w:rsidR="004E2B6D" w:rsidRPr="004E2B6D" w14:paraId="2A4DB3F4" w14:textId="77777777" w:rsidTr="004019CD">
        <w:trPr>
          <w:trHeight w:val="227"/>
          <w:jc w:val="center"/>
        </w:trPr>
        <w:tc>
          <w:tcPr>
            <w:tcW w:w="2820" w:type="dxa"/>
            <w:tcBorders>
              <w:bottom w:val="single" w:sz="4" w:space="0" w:color="auto"/>
              <w:right w:val="nil"/>
            </w:tcBorders>
          </w:tcPr>
          <w:p w14:paraId="363AFF7D" w14:textId="77777777" w:rsidR="00042A6A" w:rsidRPr="004E2B6D" w:rsidRDefault="00042A6A" w:rsidP="004019CD">
            <w:pPr>
              <w:pStyle w:val="BodyText"/>
              <w:rPr>
                <w:bCs/>
                <w:sz w:val="20"/>
                <w:szCs w:val="20"/>
                <w:lang w:val="en-US"/>
              </w:rPr>
            </w:pPr>
            <w:r w:rsidRPr="004E2B6D">
              <w:rPr>
                <w:bCs/>
                <w:sz w:val="20"/>
                <w:szCs w:val="20"/>
                <w:lang w:val="en-US"/>
              </w:rPr>
              <w:t>Pendidikan</w:t>
            </w:r>
          </w:p>
        </w:tc>
        <w:tc>
          <w:tcPr>
            <w:tcW w:w="2394" w:type="dxa"/>
            <w:tcBorders>
              <w:left w:val="nil"/>
              <w:bottom w:val="single" w:sz="4" w:space="0" w:color="auto"/>
              <w:right w:val="nil"/>
            </w:tcBorders>
          </w:tcPr>
          <w:p w14:paraId="10683003" w14:textId="77777777" w:rsidR="00042A6A" w:rsidRPr="004E2B6D" w:rsidRDefault="00042A6A" w:rsidP="00935D74">
            <w:pPr>
              <w:pStyle w:val="BodyText"/>
              <w:jc w:val="center"/>
              <w:rPr>
                <w:bCs/>
                <w:sz w:val="20"/>
                <w:szCs w:val="20"/>
                <w:lang w:val="en-US"/>
              </w:rPr>
            </w:pPr>
          </w:p>
        </w:tc>
        <w:tc>
          <w:tcPr>
            <w:tcW w:w="2126" w:type="dxa"/>
            <w:tcBorders>
              <w:left w:val="nil"/>
              <w:bottom w:val="single" w:sz="4" w:space="0" w:color="auto"/>
            </w:tcBorders>
          </w:tcPr>
          <w:p w14:paraId="3CAF4097" w14:textId="7C3C73FF" w:rsidR="00042A6A" w:rsidRPr="004E2B6D" w:rsidRDefault="00042A6A" w:rsidP="00935D74">
            <w:pPr>
              <w:pStyle w:val="BodyText"/>
              <w:jc w:val="center"/>
              <w:rPr>
                <w:bCs/>
                <w:sz w:val="20"/>
                <w:szCs w:val="20"/>
                <w:lang w:val="en-US"/>
              </w:rPr>
            </w:pPr>
          </w:p>
        </w:tc>
      </w:tr>
      <w:tr w:rsidR="004E2B6D" w:rsidRPr="004E2B6D" w14:paraId="7A9BB7E2" w14:textId="77777777" w:rsidTr="004019CD">
        <w:trPr>
          <w:trHeight w:val="227"/>
          <w:jc w:val="center"/>
        </w:trPr>
        <w:tc>
          <w:tcPr>
            <w:tcW w:w="2820" w:type="dxa"/>
            <w:tcBorders>
              <w:bottom w:val="nil"/>
              <w:right w:val="nil"/>
            </w:tcBorders>
          </w:tcPr>
          <w:p w14:paraId="01FD5BFB" w14:textId="77777777" w:rsidR="00A65B26" w:rsidRPr="004E2B6D" w:rsidRDefault="00A65B26" w:rsidP="004019CD">
            <w:pPr>
              <w:pStyle w:val="BodyText"/>
              <w:rPr>
                <w:sz w:val="20"/>
                <w:szCs w:val="20"/>
                <w:lang w:val="en-US"/>
              </w:rPr>
            </w:pPr>
            <w:r w:rsidRPr="004E2B6D">
              <w:rPr>
                <w:sz w:val="20"/>
                <w:szCs w:val="20"/>
                <w:lang w:val="en-US"/>
              </w:rPr>
              <w:t>SD</w:t>
            </w:r>
          </w:p>
        </w:tc>
        <w:tc>
          <w:tcPr>
            <w:tcW w:w="2394" w:type="dxa"/>
            <w:tcBorders>
              <w:left w:val="nil"/>
              <w:bottom w:val="nil"/>
              <w:right w:val="nil"/>
            </w:tcBorders>
          </w:tcPr>
          <w:p w14:paraId="6FBE5278" w14:textId="77777777" w:rsidR="00A65B26" w:rsidRPr="004E2B6D" w:rsidRDefault="00A65B26" w:rsidP="00935D74">
            <w:pPr>
              <w:pStyle w:val="BodyText"/>
              <w:jc w:val="center"/>
              <w:rPr>
                <w:sz w:val="20"/>
                <w:szCs w:val="20"/>
                <w:lang w:val="en-US"/>
              </w:rPr>
            </w:pPr>
            <w:r w:rsidRPr="004E2B6D">
              <w:rPr>
                <w:sz w:val="20"/>
                <w:szCs w:val="20"/>
                <w:lang w:val="en-US"/>
              </w:rPr>
              <w:t>5</w:t>
            </w:r>
          </w:p>
        </w:tc>
        <w:tc>
          <w:tcPr>
            <w:tcW w:w="2126" w:type="dxa"/>
            <w:tcBorders>
              <w:left w:val="nil"/>
              <w:bottom w:val="nil"/>
            </w:tcBorders>
          </w:tcPr>
          <w:p w14:paraId="736EBED4" w14:textId="77777777" w:rsidR="00A65B26" w:rsidRPr="004E2B6D" w:rsidRDefault="00A65B26" w:rsidP="00935D74">
            <w:pPr>
              <w:pStyle w:val="BodyText"/>
              <w:jc w:val="center"/>
              <w:rPr>
                <w:sz w:val="20"/>
                <w:szCs w:val="20"/>
                <w:lang w:val="en-US"/>
              </w:rPr>
            </w:pPr>
            <w:r w:rsidRPr="004E2B6D">
              <w:rPr>
                <w:sz w:val="20"/>
                <w:szCs w:val="20"/>
                <w:lang w:val="en-US"/>
              </w:rPr>
              <w:t>10,4</w:t>
            </w:r>
          </w:p>
        </w:tc>
      </w:tr>
      <w:tr w:rsidR="004E2B6D" w:rsidRPr="004E2B6D" w14:paraId="6EC26C4E" w14:textId="77777777" w:rsidTr="004019CD">
        <w:trPr>
          <w:trHeight w:val="227"/>
          <w:jc w:val="center"/>
        </w:trPr>
        <w:tc>
          <w:tcPr>
            <w:tcW w:w="2820" w:type="dxa"/>
            <w:tcBorders>
              <w:top w:val="nil"/>
              <w:bottom w:val="nil"/>
              <w:right w:val="nil"/>
            </w:tcBorders>
          </w:tcPr>
          <w:p w14:paraId="42EA5675" w14:textId="77777777" w:rsidR="00A65B26" w:rsidRPr="004E2B6D" w:rsidRDefault="00A65B26" w:rsidP="004019CD">
            <w:pPr>
              <w:pStyle w:val="BodyText"/>
              <w:rPr>
                <w:sz w:val="20"/>
                <w:szCs w:val="20"/>
                <w:lang w:val="en-US"/>
              </w:rPr>
            </w:pPr>
            <w:r w:rsidRPr="004E2B6D">
              <w:rPr>
                <w:sz w:val="20"/>
                <w:szCs w:val="20"/>
                <w:lang w:val="en-US"/>
              </w:rPr>
              <w:t>SMP</w:t>
            </w:r>
          </w:p>
        </w:tc>
        <w:tc>
          <w:tcPr>
            <w:tcW w:w="2394" w:type="dxa"/>
            <w:tcBorders>
              <w:top w:val="nil"/>
              <w:left w:val="nil"/>
              <w:bottom w:val="nil"/>
              <w:right w:val="nil"/>
            </w:tcBorders>
          </w:tcPr>
          <w:p w14:paraId="33039C00" w14:textId="77777777" w:rsidR="00A65B26" w:rsidRPr="004E2B6D" w:rsidRDefault="00A65B26" w:rsidP="00935D74">
            <w:pPr>
              <w:pStyle w:val="BodyText"/>
              <w:jc w:val="center"/>
              <w:rPr>
                <w:sz w:val="20"/>
                <w:szCs w:val="20"/>
                <w:lang w:val="en-US"/>
              </w:rPr>
            </w:pPr>
            <w:r w:rsidRPr="004E2B6D">
              <w:rPr>
                <w:sz w:val="20"/>
                <w:szCs w:val="20"/>
                <w:lang w:val="en-US"/>
              </w:rPr>
              <w:t>3</w:t>
            </w:r>
          </w:p>
        </w:tc>
        <w:tc>
          <w:tcPr>
            <w:tcW w:w="2126" w:type="dxa"/>
            <w:tcBorders>
              <w:top w:val="nil"/>
              <w:left w:val="nil"/>
              <w:bottom w:val="nil"/>
            </w:tcBorders>
          </w:tcPr>
          <w:p w14:paraId="2C846925" w14:textId="77777777" w:rsidR="00A65B26" w:rsidRPr="004E2B6D" w:rsidRDefault="00A65B26" w:rsidP="00935D74">
            <w:pPr>
              <w:pStyle w:val="BodyText"/>
              <w:jc w:val="center"/>
              <w:rPr>
                <w:sz w:val="20"/>
                <w:szCs w:val="20"/>
                <w:lang w:val="en-US"/>
              </w:rPr>
            </w:pPr>
            <w:r w:rsidRPr="004E2B6D">
              <w:rPr>
                <w:sz w:val="20"/>
                <w:szCs w:val="20"/>
                <w:lang w:val="en-US"/>
              </w:rPr>
              <w:t>6,3</w:t>
            </w:r>
          </w:p>
        </w:tc>
      </w:tr>
      <w:tr w:rsidR="004E2B6D" w:rsidRPr="004E2B6D" w14:paraId="01067BAB" w14:textId="77777777" w:rsidTr="004019CD">
        <w:trPr>
          <w:trHeight w:val="227"/>
          <w:jc w:val="center"/>
        </w:trPr>
        <w:tc>
          <w:tcPr>
            <w:tcW w:w="2820" w:type="dxa"/>
            <w:tcBorders>
              <w:top w:val="nil"/>
              <w:bottom w:val="nil"/>
              <w:right w:val="nil"/>
            </w:tcBorders>
          </w:tcPr>
          <w:p w14:paraId="33C1F18F" w14:textId="77777777" w:rsidR="00A65B26" w:rsidRPr="004E2B6D" w:rsidRDefault="00A65B26" w:rsidP="004019CD">
            <w:pPr>
              <w:pStyle w:val="BodyText"/>
              <w:rPr>
                <w:sz w:val="20"/>
                <w:szCs w:val="20"/>
                <w:lang w:val="en-US"/>
              </w:rPr>
            </w:pPr>
            <w:r w:rsidRPr="004E2B6D">
              <w:rPr>
                <w:sz w:val="20"/>
                <w:szCs w:val="20"/>
                <w:lang w:val="en-US"/>
              </w:rPr>
              <w:t>SMA</w:t>
            </w:r>
          </w:p>
        </w:tc>
        <w:tc>
          <w:tcPr>
            <w:tcW w:w="2394" w:type="dxa"/>
            <w:tcBorders>
              <w:top w:val="nil"/>
              <w:left w:val="nil"/>
              <w:bottom w:val="nil"/>
              <w:right w:val="nil"/>
            </w:tcBorders>
          </w:tcPr>
          <w:p w14:paraId="325CD34A" w14:textId="77777777" w:rsidR="00A65B26" w:rsidRPr="004E2B6D" w:rsidRDefault="00A65B26" w:rsidP="00935D74">
            <w:pPr>
              <w:pStyle w:val="BodyText"/>
              <w:jc w:val="center"/>
              <w:rPr>
                <w:sz w:val="20"/>
                <w:szCs w:val="20"/>
                <w:lang w:val="en-US"/>
              </w:rPr>
            </w:pPr>
            <w:r w:rsidRPr="004E2B6D">
              <w:rPr>
                <w:sz w:val="20"/>
                <w:szCs w:val="20"/>
                <w:lang w:val="en-US"/>
              </w:rPr>
              <w:t>35</w:t>
            </w:r>
          </w:p>
        </w:tc>
        <w:tc>
          <w:tcPr>
            <w:tcW w:w="2126" w:type="dxa"/>
            <w:tcBorders>
              <w:top w:val="nil"/>
              <w:left w:val="nil"/>
              <w:bottom w:val="nil"/>
            </w:tcBorders>
          </w:tcPr>
          <w:p w14:paraId="2E229DA5" w14:textId="77777777" w:rsidR="00A65B26" w:rsidRPr="004E2B6D" w:rsidRDefault="00A65B26" w:rsidP="00935D74">
            <w:pPr>
              <w:pStyle w:val="BodyText"/>
              <w:jc w:val="center"/>
              <w:rPr>
                <w:sz w:val="20"/>
                <w:szCs w:val="20"/>
                <w:lang w:val="en-US"/>
              </w:rPr>
            </w:pPr>
            <w:r w:rsidRPr="004E2B6D">
              <w:rPr>
                <w:sz w:val="20"/>
                <w:szCs w:val="20"/>
                <w:lang w:val="en-US"/>
              </w:rPr>
              <w:t>72,9</w:t>
            </w:r>
          </w:p>
        </w:tc>
      </w:tr>
      <w:tr w:rsidR="004E2B6D" w:rsidRPr="004E2B6D" w14:paraId="6CD878D6" w14:textId="77777777" w:rsidTr="004019CD">
        <w:trPr>
          <w:trHeight w:val="227"/>
          <w:jc w:val="center"/>
        </w:trPr>
        <w:tc>
          <w:tcPr>
            <w:tcW w:w="2820" w:type="dxa"/>
            <w:tcBorders>
              <w:top w:val="nil"/>
              <w:right w:val="nil"/>
            </w:tcBorders>
          </w:tcPr>
          <w:p w14:paraId="70C2EF7D" w14:textId="77777777" w:rsidR="00A65B26" w:rsidRPr="004E2B6D" w:rsidRDefault="00A65B26" w:rsidP="004019CD">
            <w:pPr>
              <w:pStyle w:val="BodyText"/>
              <w:rPr>
                <w:sz w:val="20"/>
                <w:szCs w:val="20"/>
                <w:lang w:val="en-US"/>
              </w:rPr>
            </w:pPr>
            <w:r w:rsidRPr="004E2B6D">
              <w:rPr>
                <w:sz w:val="20"/>
                <w:szCs w:val="20"/>
                <w:lang w:val="en-US"/>
              </w:rPr>
              <w:t>Sarjana</w:t>
            </w:r>
          </w:p>
        </w:tc>
        <w:tc>
          <w:tcPr>
            <w:tcW w:w="2394" w:type="dxa"/>
            <w:tcBorders>
              <w:top w:val="nil"/>
              <w:left w:val="nil"/>
              <w:right w:val="nil"/>
            </w:tcBorders>
          </w:tcPr>
          <w:p w14:paraId="016A7A3D" w14:textId="77777777" w:rsidR="00A65B26" w:rsidRPr="004E2B6D" w:rsidRDefault="00A65B26" w:rsidP="00935D74">
            <w:pPr>
              <w:pStyle w:val="BodyText"/>
              <w:jc w:val="center"/>
              <w:rPr>
                <w:sz w:val="20"/>
                <w:szCs w:val="20"/>
                <w:lang w:val="en-US"/>
              </w:rPr>
            </w:pPr>
            <w:r w:rsidRPr="004E2B6D">
              <w:rPr>
                <w:sz w:val="20"/>
                <w:szCs w:val="20"/>
                <w:lang w:val="en-US"/>
              </w:rPr>
              <w:t>5</w:t>
            </w:r>
          </w:p>
        </w:tc>
        <w:tc>
          <w:tcPr>
            <w:tcW w:w="2126" w:type="dxa"/>
            <w:tcBorders>
              <w:top w:val="nil"/>
              <w:left w:val="nil"/>
            </w:tcBorders>
          </w:tcPr>
          <w:p w14:paraId="6CE01D7F" w14:textId="77777777" w:rsidR="00A65B26" w:rsidRPr="004E2B6D" w:rsidRDefault="00A65B26" w:rsidP="00935D74">
            <w:pPr>
              <w:pStyle w:val="BodyText"/>
              <w:jc w:val="center"/>
              <w:rPr>
                <w:sz w:val="20"/>
                <w:szCs w:val="20"/>
                <w:lang w:val="en-US"/>
              </w:rPr>
            </w:pPr>
            <w:r w:rsidRPr="004E2B6D">
              <w:rPr>
                <w:sz w:val="20"/>
                <w:szCs w:val="20"/>
                <w:lang w:val="en-US"/>
              </w:rPr>
              <w:t>10,4</w:t>
            </w:r>
          </w:p>
        </w:tc>
      </w:tr>
      <w:tr w:rsidR="004E2B6D" w:rsidRPr="004E2B6D" w14:paraId="77DE4F17" w14:textId="77777777" w:rsidTr="004019CD">
        <w:trPr>
          <w:trHeight w:val="227"/>
          <w:jc w:val="center"/>
        </w:trPr>
        <w:tc>
          <w:tcPr>
            <w:tcW w:w="2820" w:type="dxa"/>
            <w:tcBorders>
              <w:bottom w:val="single" w:sz="4" w:space="0" w:color="auto"/>
              <w:right w:val="nil"/>
            </w:tcBorders>
          </w:tcPr>
          <w:p w14:paraId="0483F2BD" w14:textId="77777777" w:rsidR="00042A6A" w:rsidRPr="004E2B6D" w:rsidRDefault="00042A6A" w:rsidP="004019CD">
            <w:pPr>
              <w:pStyle w:val="BodyText"/>
              <w:rPr>
                <w:bCs/>
                <w:sz w:val="20"/>
                <w:szCs w:val="20"/>
                <w:lang w:val="en-US"/>
              </w:rPr>
            </w:pPr>
            <w:r w:rsidRPr="004E2B6D">
              <w:rPr>
                <w:bCs/>
                <w:sz w:val="20"/>
                <w:szCs w:val="20"/>
                <w:lang w:val="en-US"/>
              </w:rPr>
              <w:t>Pekerjaan</w:t>
            </w:r>
          </w:p>
        </w:tc>
        <w:tc>
          <w:tcPr>
            <w:tcW w:w="2394" w:type="dxa"/>
            <w:tcBorders>
              <w:left w:val="nil"/>
              <w:bottom w:val="single" w:sz="4" w:space="0" w:color="auto"/>
              <w:right w:val="nil"/>
            </w:tcBorders>
          </w:tcPr>
          <w:p w14:paraId="5503DFA7" w14:textId="77777777" w:rsidR="00042A6A" w:rsidRPr="004E2B6D" w:rsidRDefault="00042A6A" w:rsidP="00935D74">
            <w:pPr>
              <w:pStyle w:val="BodyText"/>
              <w:jc w:val="center"/>
              <w:rPr>
                <w:bCs/>
                <w:sz w:val="20"/>
                <w:szCs w:val="20"/>
                <w:lang w:val="en-US"/>
              </w:rPr>
            </w:pPr>
          </w:p>
        </w:tc>
        <w:tc>
          <w:tcPr>
            <w:tcW w:w="2126" w:type="dxa"/>
            <w:tcBorders>
              <w:left w:val="nil"/>
              <w:bottom w:val="single" w:sz="4" w:space="0" w:color="auto"/>
            </w:tcBorders>
          </w:tcPr>
          <w:p w14:paraId="47A09E1B" w14:textId="208E0C8B" w:rsidR="00042A6A" w:rsidRPr="004E2B6D" w:rsidRDefault="00042A6A" w:rsidP="00935D74">
            <w:pPr>
              <w:pStyle w:val="BodyText"/>
              <w:jc w:val="center"/>
              <w:rPr>
                <w:bCs/>
                <w:sz w:val="20"/>
                <w:szCs w:val="20"/>
                <w:lang w:val="en-US"/>
              </w:rPr>
            </w:pPr>
          </w:p>
        </w:tc>
      </w:tr>
      <w:tr w:rsidR="004E2B6D" w:rsidRPr="004E2B6D" w14:paraId="75E68E31" w14:textId="77777777" w:rsidTr="004019CD">
        <w:trPr>
          <w:trHeight w:val="227"/>
          <w:jc w:val="center"/>
        </w:trPr>
        <w:tc>
          <w:tcPr>
            <w:tcW w:w="2820" w:type="dxa"/>
            <w:tcBorders>
              <w:bottom w:val="nil"/>
              <w:right w:val="nil"/>
            </w:tcBorders>
          </w:tcPr>
          <w:p w14:paraId="268D2B08" w14:textId="77777777" w:rsidR="00A65B26" w:rsidRPr="004E2B6D" w:rsidRDefault="00A65B26" w:rsidP="004019CD">
            <w:pPr>
              <w:pStyle w:val="BodyText"/>
              <w:rPr>
                <w:sz w:val="20"/>
                <w:szCs w:val="20"/>
                <w:lang w:val="en-US"/>
              </w:rPr>
            </w:pPr>
            <w:r w:rsidRPr="004E2B6D">
              <w:rPr>
                <w:sz w:val="20"/>
                <w:szCs w:val="20"/>
                <w:lang w:val="en-US"/>
              </w:rPr>
              <w:t>Tidak bekerja</w:t>
            </w:r>
          </w:p>
        </w:tc>
        <w:tc>
          <w:tcPr>
            <w:tcW w:w="2394" w:type="dxa"/>
            <w:tcBorders>
              <w:left w:val="nil"/>
              <w:bottom w:val="nil"/>
              <w:right w:val="nil"/>
            </w:tcBorders>
          </w:tcPr>
          <w:p w14:paraId="10B8872F" w14:textId="77777777" w:rsidR="00A65B26" w:rsidRPr="004E2B6D" w:rsidRDefault="00A65B26" w:rsidP="00935D74">
            <w:pPr>
              <w:pStyle w:val="BodyText"/>
              <w:jc w:val="center"/>
              <w:rPr>
                <w:sz w:val="20"/>
                <w:szCs w:val="20"/>
                <w:lang w:val="en-US"/>
              </w:rPr>
            </w:pPr>
            <w:r w:rsidRPr="004E2B6D">
              <w:rPr>
                <w:sz w:val="20"/>
                <w:szCs w:val="20"/>
                <w:lang w:val="en-US"/>
              </w:rPr>
              <w:t>19</w:t>
            </w:r>
          </w:p>
        </w:tc>
        <w:tc>
          <w:tcPr>
            <w:tcW w:w="2126" w:type="dxa"/>
            <w:tcBorders>
              <w:left w:val="nil"/>
              <w:bottom w:val="nil"/>
            </w:tcBorders>
          </w:tcPr>
          <w:p w14:paraId="1226CF2C" w14:textId="77777777" w:rsidR="00A65B26" w:rsidRPr="004E2B6D" w:rsidRDefault="00A65B26" w:rsidP="00935D74">
            <w:pPr>
              <w:pStyle w:val="BodyText"/>
              <w:jc w:val="center"/>
              <w:rPr>
                <w:sz w:val="20"/>
                <w:szCs w:val="20"/>
                <w:lang w:val="en-US"/>
              </w:rPr>
            </w:pPr>
            <w:r w:rsidRPr="004E2B6D">
              <w:rPr>
                <w:sz w:val="20"/>
                <w:szCs w:val="20"/>
                <w:lang w:val="en-US"/>
              </w:rPr>
              <w:t>39,6</w:t>
            </w:r>
          </w:p>
        </w:tc>
      </w:tr>
      <w:tr w:rsidR="004E2B6D" w:rsidRPr="004E2B6D" w14:paraId="2813B286" w14:textId="77777777" w:rsidTr="004019CD">
        <w:trPr>
          <w:trHeight w:val="227"/>
          <w:jc w:val="center"/>
        </w:trPr>
        <w:tc>
          <w:tcPr>
            <w:tcW w:w="2820" w:type="dxa"/>
            <w:tcBorders>
              <w:top w:val="nil"/>
              <w:right w:val="nil"/>
            </w:tcBorders>
          </w:tcPr>
          <w:p w14:paraId="28E9EB62" w14:textId="77777777" w:rsidR="00A65B26" w:rsidRPr="004E2B6D" w:rsidRDefault="00A65B26" w:rsidP="004019CD">
            <w:pPr>
              <w:pStyle w:val="BodyText"/>
              <w:rPr>
                <w:sz w:val="20"/>
                <w:szCs w:val="20"/>
                <w:lang w:val="en-US"/>
              </w:rPr>
            </w:pPr>
            <w:r w:rsidRPr="004E2B6D">
              <w:rPr>
                <w:sz w:val="20"/>
                <w:szCs w:val="20"/>
                <w:lang w:val="en-US"/>
              </w:rPr>
              <w:t>Bekerja</w:t>
            </w:r>
          </w:p>
        </w:tc>
        <w:tc>
          <w:tcPr>
            <w:tcW w:w="2394" w:type="dxa"/>
            <w:tcBorders>
              <w:top w:val="nil"/>
              <w:left w:val="nil"/>
              <w:right w:val="nil"/>
            </w:tcBorders>
          </w:tcPr>
          <w:p w14:paraId="30F7D290" w14:textId="77777777" w:rsidR="00A65B26" w:rsidRPr="004E2B6D" w:rsidRDefault="00A65B26" w:rsidP="00935D74">
            <w:pPr>
              <w:pStyle w:val="BodyText"/>
              <w:jc w:val="center"/>
              <w:rPr>
                <w:sz w:val="20"/>
                <w:szCs w:val="20"/>
                <w:lang w:val="en-US"/>
              </w:rPr>
            </w:pPr>
            <w:r w:rsidRPr="004E2B6D">
              <w:rPr>
                <w:sz w:val="20"/>
                <w:szCs w:val="20"/>
                <w:lang w:val="en-US"/>
              </w:rPr>
              <w:t>29</w:t>
            </w:r>
          </w:p>
        </w:tc>
        <w:tc>
          <w:tcPr>
            <w:tcW w:w="2126" w:type="dxa"/>
            <w:tcBorders>
              <w:top w:val="nil"/>
              <w:left w:val="nil"/>
            </w:tcBorders>
          </w:tcPr>
          <w:p w14:paraId="2E55AE7D" w14:textId="77777777" w:rsidR="00A65B26" w:rsidRPr="004E2B6D" w:rsidRDefault="00A65B26" w:rsidP="00935D74">
            <w:pPr>
              <w:pStyle w:val="BodyText"/>
              <w:jc w:val="center"/>
              <w:rPr>
                <w:sz w:val="20"/>
                <w:szCs w:val="20"/>
                <w:lang w:val="en-US"/>
              </w:rPr>
            </w:pPr>
            <w:r w:rsidRPr="004E2B6D">
              <w:rPr>
                <w:sz w:val="20"/>
                <w:szCs w:val="20"/>
                <w:lang w:val="en-US"/>
              </w:rPr>
              <w:t>60,4</w:t>
            </w:r>
          </w:p>
        </w:tc>
      </w:tr>
      <w:tr w:rsidR="004E2B6D" w:rsidRPr="004E2B6D" w14:paraId="2868E235" w14:textId="77777777" w:rsidTr="004019CD">
        <w:trPr>
          <w:trHeight w:val="227"/>
          <w:jc w:val="center"/>
        </w:trPr>
        <w:tc>
          <w:tcPr>
            <w:tcW w:w="2820" w:type="dxa"/>
            <w:tcBorders>
              <w:bottom w:val="single" w:sz="4" w:space="0" w:color="auto"/>
              <w:right w:val="nil"/>
            </w:tcBorders>
          </w:tcPr>
          <w:p w14:paraId="794807E0" w14:textId="77777777" w:rsidR="00042A6A" w:rsidRPr="004E2B6D" w:rsidRDefault="00042A6A" w:rsidP="004019CD">
            <w:pPr>
              <w:pStyle w:val="BodyText"/>
              <w:rPr>
                <w:bCs/>
                <w:sz w:val="20"/>
                <w:szCs w:val="20"/>
                <w:lang w:val="en-US"/>
              </w:rPr>
            </w:pPr>
            <w:r w:rsidRPr="004E2B6D">
              <w:rPr>
                <w:bCs/>
                <w:sz w:val="20"/>
                <w:szCs w:val="20"/>
                <w:lang w:val="en-US"/>
              </w:rPr>
              <w:t>Frekuensi operasi</w:t>
            </w:r>
          </w:p>
        </w:tc>
        <w:tc>
          <w:tcPr>
            <w:tcW w:w="2394" w:type="dxa"/>
            <w:tcBorders>
              <w:left w:val="nil"/>
              <w:bottom w:val="single" w:sz="4" w:space="0" w:color="auto"/>
              <w:right w:val="nil"/>
            </w:tcBorders>
          </w:tcPr>
          <w:p w14:paraId="5B63177B" w14:textId="77777777" w:rsidR="00042A6A" w:rsidRPr="004E2B6D" w:rsidRDefault="00042A6A" w:rsidP="00935D74">
            <w:pPr>
              <w:pStyle w:val="BodyText"/>
              <w:jc w:val="center"/>
              <w:rPr>
                <w:bCs/>
                <w:sz w:val="20"/>
                <w:szCs w:val="20"/>
                <w:lang w:val="en-US"/>
              </w:rPr>
            </w:pPr>
          </w:p>
        </w:tc>
        <w:tc>
          <w:tcPr>
            <w:tcW w:w="2126" w:type="dxa"/>
            <w:tcBorders>
              <w:left w:val="nil"/>
              <w:bottom w:val="single" w:sz="4" w:space="0" w:color="auto"/>
            </w:tcBorders>
          </w:tcPr>
          <w:p w14:paraId="16B4929A" w14:textId="1BE347D9" w:rsidR="00042A6A" w:rsidRPr="004E2B6D" w:rsidRDefault="00042A6A" w:rsidP="00935D74">
            <w:pPr>
              <w:pStyle w:val="BodyText"/>
              <w:jc w:val="center"/>
              <w:rPr>
                <w:bCs/>
                <w:sz w:val="20"/>
                <w:szCs w:val="20"/>
                <w:lang w:val="en-US"/>
              </w:rPr>
            </w:pPr>
          </w:p>
        </w:tc>
      </w:tr>
      <w:tr w:rsidR="004E2B6D" w:rsidRPr="004E2B6D" w14:paraId="1A662E87" w14:textId="77777777" w:rsidTr="004019CD">
        <w:trPr>
          <w:trHeight w:val="227"/>
          <w:jc w:val="center"/>
        </w:trPr>
        <w:tc>
          <w:tcPr>
            <w:tcW w:w="2820" w:type="dxa"/>
            <w:tcBorders>
              <w:bottom w:val="nil"/>
              <w:right w:val="nil"/>
            </w:tcBorders>
          </w:tcPr>
          <w:p w14:paraId="5ABAD0F0" w14:textId="77777777" w:rsidR="00A65B26" w:rsidRPr="004E2B6D" w:rsidRDefault="00A65B26" w:rsidP="004019CD">
            <w:pPr>
              <w:pStyle w:val="BodyText"/>
              <w:rPr>
                <w:sz w:val="20"/>
                <w:szCs w:val="20"/>
                <w:lang w:val="en-US"/>
              </w:rPr>
            </w:pPr>
            <w:r w:rsidRPr="004E2B6D">
              <w:rPr>
                <w:sz w:val="20"/>
                <w:szCs w:val="20"/>
                <w:lang w:val="en-US"/>
              </w:rPr>
              <w:t>Sekali</w:t>
            </w:r>
          </w:p>
        </w:tc>
        <w:tc>
          <w:tcPr>
            <w:tcW w:w="2394" w:type="dxa"/>
            <w:tcBorders>
              <w:left w:val="nil"/>
              <w:bottom w:val="nil"/>
              <w:right w:val="nil"/>
            </w:tcBorders>
          </w:tcPr>
          <w:p w14:paraId="4BEE5E2E" w14:textId="77777777" w:rsidR="00A65B26" w:rsidRPr="004E2B6D" w:rsidRDefault="00A65B26" w:rsidP="00935D74">
            <w:pPr>
              <w:pStyle w:val="BodyText"/>
              <w:jc w:val="center"/>
              <w:rPr>
                <w:sz w:val="20"/>
                <w:szCs w:val="20"/>
                <w:lang w:val="en-US"/>
              </w:rPr>
            </w:pPr>
            <w:r w:rsidRPr="004E2B6D">
              <w:rPr>
                <w:sz w:val="20"/>
                <w:szCs w:val="20"/>
                <w:lang w:val="en-US"/>
              </w:rPr>
              <w:t>39</w:t>
            </w:r>
          </w:p>
        </w:tc>
        <w:tc>
          <w:tcPr>
            <w:tcW w:w="2126" w:type="dxa"/>
            <w:tcBorders>
              <w:left w:val="nil"/>
              <w:bottom w:val="nil"/>
            </w:tcBorders>
          </w:tcPr>
          <w:p w14:paraId="129FE022" w14:textId="77777777" w:rsidR="00A65B26" w:rsidRPr="004E2B6D" w:rsidRDefault="00A65B26" w:rsidP="00935D74">
            <w:pPr>
              <w:pStyle w:val="BodyText"/>
              <w:jc w:val="center"/>
              <w:rPr>
                <w:sz w:val="20"/>
                <w:szCs w:val="20"/>
                <w:lang w:val="en-US"/>
              </w:rPr>
            </w:pPr>
            <w:r w:rsidRPr="004E2B6D">
              <w:rPr>
                <w:sz w:val="20"/>
                <w:szCs w:val="20"/>
                <w:lang w:val="en-US"/>
              </w:rPr>
              <w:t>81,3</w:t>
            </w:r>
          </w:p>
        </w:tc>
      </w:tr>
      <w:tr w:rsidR="004E2B6D" w:rsidRPr="004E2B6D" w14:paraId="7C7EAC0E" w14:textId="77777777" w:rsidTr="004019CD">
        <w:trPr>
          <w:trHeight w:val="227"/>
          <w:jc w:val="center"/>
        </w:trPr>
        <w:tc>
          <w:tcPr>
            <w:tcW w:w="2820" w:type="dxa"/>
            <w:tcBorders>
              <w:top w:val="nil"/>
              <w:right w:val="nil"/>
            </w:tcBorders>
          </w:tcPr>
          <w:p w14:paraId="5D13B108" w14:textId="77777777" w:rsidR="00A65B26" w:rsidRPr="004E2B6D" w:rsidRDefault="00A65B26" w:rsidP="004019CD">
            <w:pPr>
              <w:pStyle w:val="BodyText"/>
              <w:rPr>
                <w:sz w:val="20"/>
                <w:szCs w:val="20"/>
                <w:lang w:val="en-US"/>
              </w:rPr>
            </w:pPr>
            <w:r w:rsidRPr="004E2B6D">
              <w:rPr>
                <w:sz w:val="20"/>
                <w:szCs w:val="20"/>
                <w:lang w:val="en-US"/>
              </w:rPr>
              <w:t>&gt; Sekali</w:t>
            </w:r>
          </w:p>
        </w:tc>
        <w:tc>
          <w:tcPr>
            <w:tcW w:w="2394" w:type="dxa"/>
            <w:tcBorders>
              <w:top w:val="nil"/>
              <w:left w:val="nil"/>
              <w:right w:val="nil"/>
            </w:tcBorders>
          </w:tcPr>
          <w:p w14:paraId="577B5E64" w14:textId="77777777" w:rsidR="00A65B26" w:rsidRPr="004E2B6D" w:rsidRDefault="00A65B26" w:rsidP="00935D74">
            <w:pPr>
              <w:pStyle w:val="BodyText"/>
              <w:jc w:val="center"/>
              <w:rPr>
                <w:sz w:val="20"/>
                <w:szCs w:val="20"/>
                <w:lang w:val="en-US"/>
              </w:rPr>
            </w:pPr>
            <w:r w:rsidRPr="004E2B6D">
              <w:rPr>
                <w:sz w:val="20"/>
                <w:szCs w:val="20"/>
                <w:lang w:val="en-US"/>
              </w:rPr>
              <w:t>9</w:t>
            </w:r>
          </w:p>
        </w:tc>
        <w:tc>
          <w:tcPr>
            <w:tcW w:w="2126" w:type="dxa"/>
            <w:tcBorders>
              <w:top w:val="nil"/>
              <w:left w:val="nil"/>
            </w:tcBorders>
          </w:tcPr>
          <w:p w14:paraId="32E0FE0B" w14:textId="77777777" w:rsidR="00A65B26" w:rsidRPr="004E2B6D" w:rsidRDefault="00A65B26" w:rsidP="00935D74">
            <w:pPr>
              <w:pStyle w:val="BodyText"/>
              <w:jc w:val="center"/>
              <w:rPr>
                <w:sz w:val="20"/>
                <w:szCs w:val="20"/>
                <w:lang w:val="en-US"/>
              </w:rPr>
            </w:pPr>
            <w:r w:rsidRPr="004E2B6D">
              <w:rPr>
                <w:sz w:val="20"/>
                <w:szCs w:val="20"/>
                <w:lang w:val="en-US"/>
              </w:rPr>
              <w:t>18,8</w:t>
            </w:r>
          </w:p>
        </w:tc>
      </w:tr>
      <w:tr w:rsidR="004E2B6D" w:rsidRPr="004E2B6D" w14:paraId="6F985941" w14:textId="77777777" w:rsidTr="004019CD">
        <w:trPr>
          <w:trHeight w:val="227"/>
          <w:jc w:val="center"/>
        </w:trPr>
        <w:tc>
          <w:tcPr>
            <w:tcW w:w="2820" w:type="dxa"/>
            <w:tcBorders>
              <w:right w:val="nil"/>
            </w:tcBorders>
          </w:tcPr>
          <w:p w14:paraId="229BA0E7" w14:textId="77777777" w:rsidR="00A65B26" w:rsidRPr="004E2B6D" w:rsidRDefault="00A65B26" w:rsidP="004019CD">
            <w:pPr>
              <w:pStyle w:val="BodyText"/>
              <w:rPr>
                <w:bCs/>
                <w:sz w:val="20"/>
                <w:szCs w:val="20"/>
                <w:lang w:val="en-US"/>
              </w:rPr>
            </w:pPr>
            <w:r w:rsidRPr="004E2B6D">
              <w:rPr>
                <w:bCs/>
                <w:sz w:val="20"/>
                <w:szCs w:val="20"/>
                <w:lang w:val="en-US"/>
              </w:rPr>
              <w:t>Total</w:t>
            </w:r>
          </w:p>
        </w:tc>
        <w:tc>
          <w:tcPr>
            <w:tcW w:w="2394" w:type="dxa"/>
            <w:tcBorders>
              <w:left w:val="nil"/>
              <w:right w:val="nil"/>
            </w:tcBorders>
          </w:tcPr>
          <w:p w14:paraId="477895A9" w14:textId="77777777" w:rsidR="00A65B26" w:rsidRPr="004E2B6D" w:rsidRDefault="00A65B26" w:rsidP="00935D74">
            <w:pPr>
              <w:pStyle w:val="BodyText"/>
              <w:jc w:val="center"/>
              <w:rPr>
                <w:bCs/>
                <w:sz w:val="20"/>
                <w:szCs w:val="20"/>
                <w:lang w:val="en-US"/>
              </w:rPr>
            </w:pPr>
            <w:r w:rsidRPr="004E2B6D">
              <w:rPr>
                <w:bCs/>
                <w:sz w:val="20"/>
                <w:szCs w:val="20"/>
                <w:lang w:val="en-US"/>
              </w:rPr>
              <w:t>48</w:t>
            </w:r>
          </w:p>
        </w:tc>
        <w:tc>
          <w:tcPr>
            <w:tcW w:w="2126" w:type="dxa"/>
            <w:tcBorders>
              <w:left w:val="nil"/>
            </w:tcBorders>
          </w:tcPr>
          <w:p w14:paraId="781242C4" w14:textId="77777777" w:rsidR="00A65B26" w:rsidRPr="004E2B6D" w:rsidRDefault="00A65B26" w:rsidP="00935D74">
            <w:pPr>
              <w:pStyle w:val="BodyText"/>
              <w:jc w:val="center"/>
              <w:rPr>
                <w:bCs/>
                <w:sz w:val="20"/>
                <w:szCs w:val="20"/>
                <w:lang w:val="en-US"/>
              </w:rPr>
            </w:pPr>
            <w:r w:rsidRPr="004E2B6D">
              <w:rPr>
                <w:bCs/>
                <w:sz w:val="20"/>
                <w:szCs w:val="20"/>
                <w:lang w:val="en-US"/>
              </w:rPr>
              <w:t>100</w:t>
            </w:r>
          </w:p>
        </w:tc>
      </w:tr>
    </w:tbl>
    <w:p w14:paraId="73772710" w14:textId="4184BFF6" w:rsidR="00A65B26" w:rsidRPr="004E2B6D" w:rsidRDefault="00A65B26" w:rsidP="00935D74">
      <w:pPr>
        <w:spacing w:after="0" w:line="240" w:lineRule="auto"/>
        <w:jc w:val="both"/>
        <w:rPr>
          <w:rFonts w:ascii="Times New Roman" w:hAnsi="Times New Roman" w:cs="Times New Roman"/>
          <w:sz w:val="20"/>
          <w:szCs w:val="20"/>
        </w:rPr>
      </w:pPr>
    </w:p>
    <w:p w14:paraId="7FA775E2" w14:textId="77777777" w:rsidR="00935D74" w:rsidRPr="004E2B6D" w:rsidRDefault="00935D74" w:rsidP="004D66B8">
      <w:pPr>
        <w:spacing w:after="0" w:line="240" w:lineRule="auto"/>
        <w:ind w:firstLine="567"/>
        <w:jc w:val="both"/>
        <w:rPr>
          <w:rFonts w:ascii="Times New Roman" w:hAnsi="Times New Roman" w:cs="Times New Roman"/>
          <w:sz w:val="24"/>
          <w:szCs w:val="24"/>
        </w:rPr>
      </w:pPr>
      <w:r w:rsidRPr="004E2B6D">
        <w:rPr>
          <w:rFonts w:ascii="Times New Roman" w:hAnsi="Times New Roman" w:cs="Times New Roman"/>
          <w:sz w:val="24"/>
          <w:szCs w:val="24"/>
        </w:rPr>
        <w:t xml:space="preserve">Hasil penelitian pada tabel 1 menunjukkan mayoritas </w:t>
      </w:r>
      <w:r w:rsidRPr="004E2B6D">
        <w:rPr>
          <w:rFonts w:ascii="Times New Roman" w:hAnsi="Times New Roman" w:cs="Times New Roman"/>
          <w:sz w:val="24"/>
          <w:szCs w:val="24"/>
          <w:lang w:val="en-US"/>
        </w:rPr>
        <w:t>berusia 41-50 tahun sebesar 58,3% dan mayoritas berjenis kelamin perempuan sebesar 64,6%. Pendidikan terakhir responden dalam penelitian mayoritas di tingkat SMA sebesar 72,9%. Responden penelitian mayoritas tidak bekerja sebesar 60,4% dan memiliki pengalaman operasi untuk pertama kali sebesar 81,3%.</w:t>
      </w:r>
    </w:p>
    <w:p w14:paraId="3A6A3F28" w14:textId="77777777" w:rsidR="0089399E" w:rsidRPr="004E2B6D" w:rsidRDefault="0089399E" w:rsidP="004D66B8">
      <w:pPr>
        <w:spacing w:after="0" w:line="240" w:lineRule="auto"/>
        <w:rPr>
          <w:rFonts w:ascii="Times New Roman" w:hAnsi="Times New Roman" w:cs="Times New Roman"/>
          <w:sz w:val="20"/>
          <w:szCs w:val="20"/>
        </w:rPr>
      </w:pPr>
    </w:p>
    <w:p w14:paraId="31D67D46" w14:textId="26CD27E1" w:rsidR="00793D5F" w:rsidRPr="004E2B6D" w:rsidRDefault="00A37E26" w:rsidP="00935D74">
      <w:pPr>
        <w:spacing w:after="0" w:line="240" w:lineRule="auto"/>
        <w:jc w:val="center"/>
        <w:rPr>
          <w:rFonts w:ascii="Times New Roman" w:hAnsi="Times New Roman" w:cs="Times New Roman"/>
          <w:sz w:val="20"/>
          <w:szCs w:val="20"/>
        </w:rPr>
      </w:pPr>
      <w:r w:rsidRPr="004E2B6D">
        <w:rPr>
          <w:rFonts w:ascii="Times New Roman" w:hAnsi="Times New Roman" w:cs="Times New Roman"/>
          <w:sz w:val="20"/>
          <w:szCs w:val="20"/>
        </w:rPr>
        <w:t>Tabel</w:t>
      </w:r>
      <w:r w:rsidR="004019CD" w:rsidRPr="004E2B6D">
        <w:rPr>
          <w:rFonts w:ascii="Times New Roman" w:hAnsi="Times New Roman" w:cs="Times New Roman"/>
          <w:sz w:val="20"/>
          <w:szCs w:val="20"/>
        </w:rPr>
        <w:t>.</w:t>
      </w:r>
      <w:r w:rsidRPr="004E2B6D">
        <w:rPr>
          <w:rFonts w:ascii="Times New Roman" w:hAnsi="Times New Roman" w:cs="Times New Roman"/>
          <w:sz w:val="20"/>
          <w:szCs w:val="20"/>
        </w:rPr>
        <w:t xml:space="preserve"> 2</w:t>
      </w:r>
    </w:p>
    <w:p w14:paraId="0EDFD555" w14:textId="77777777" w:rsidR="004019CD" w:rsidRPr="004E2B6D" w:rsidRDefault="00A37E26" w:rsidP="00935D74">
      <w:pPr>
        <w:spacing w:after="0" w:line="240" w:lineRule="auto"/>
        <w:jc w:val="center"/>
        <w:rPr>
          <w:rFonts w:ascii="Times New Roman" w:hAnsi="Times New Roman" w:cs="Times New Roman"/>
          <w:sz w:val="20"/>
          <w:szCs w:val="20"/>
        </w:rPr>
      </w:pPr>
      <w:r w:rsidRPr="004E2B6D">
        <w:rPr>
          <w:rFonts w:ascii="Times New Roman" w:hAnsi="Times New Roman" w:cs="Times New Roman"/>
          <w:sz w:val="20"/>
          <w:szCs w:val="20"/>
        </w:rPr>
        <w:t xml:space="preserve">Hubungan </w:t>
      </w:r>
      <w:r w:rsidR="004019CD" w:rsidRPr="004E2B6D">
        <w:rPr>
          <w:rFonts w:ascii="Times New Roman" w:hAnsi="Times New Roman" w:cs="Times New Roman"/>
          <w:sz w:val="20"/>
          <w:szCs w:val="20"/>
        </w:rPr>
        <w:t>Faktor Usia, Jenis Kelamin, Pendidikan, Pekerjaan,</w:t>
      </w:r>
      <w:r w:rsidRPr="004E2B6D">
        <w:rPr>
          <w:rFonts w:ascii="Times New Roman" w:hAnsi="Times New Roman" w:cs="Times New Roman"/>
          <w:sz w:val="20"/>
          <w:szCs w:val="20"/>
        </w:rPr>
        <w:t xml:space="preserve"> </w:t>
      </w:r>
    </w:p>
    <w:p w14:paraId="1CC51051" w14:textId="3C07E25D" w:rsidR="00A65B26" w:rsidRPr="004E2B6D" w:rsidRDefault="00A37E26" w:rsidP="00935D74">
      <w:pPr>
        <w:spacing w:after="0" w:line="240" w:lineRule="auto"/>
        <w:jc w:val="center"/>
        <w:rPr>
          <w:rFonts w:ascii="Times New Roman" w:hAnsi="Times New Roman" w:cs="Times New Roman"/>
          <w:sz w:val="20"/>
          <w:szCs w:val="20"/>
        </w:rPr>
      </w:pPr>
      <w:r w:rsidRPr="004E2B6D">
        <w:rPr>
          <w:rFonts w:ascii="Times New Roman" w:hAnsi="Times New Roman" w:cs="Times New Roman"/>
          <w:sz w:val="20"/>
          <w:szCs w:val="20"/>
        </w:rPr>
        <w:t xml:space="preserve">dan </w:t>
      </w:r>
      <w:r w:rsidR="004019CD" w:rsidRPr="004E2B6D">
        <w:rPr>
          <w:rFonts w:ascii="Times New Roman" w:hAnsi="Times New Roman" w:cs="Times New Roman"/>
          <w:sz w:val="20"/>
          <w:szCs w:val="20"/>
        </w:rPr>
        <w:t xml:space="preserve">Frekuensi Operasi </w:t>
      </w:r>
      <w:r w:rsidRPr="004E2B6D">
        <w:rPr>
          <w:rFonts w:ascii="Times New Roman" w:hAnsi="Times New Roman" w:cs="Times New Roman"/>
          <w:sz w:val="20"/>
          <w:szCs w:val="20"/>
        </w:rPr>
        <w:t xml:space="preserve">terhadap </w:t>
      </w:r>
      <w:r w:rsidR="004019CD" w:rsidRPr="004E2B6D">
        <w:rPr>
          <w:rFonts w:ascii="Times New Roman" w:hAnsi="Times New Roman" w:cs="Times New Roman"/>
          <w:sz w:val="20"/>
          <w:szCs w:val="20"/>
        </w:rPr>
        <w:t>Kecemasan Pasien Pre Operasi</w:t>
      </w:r>
    </w:p>
    <w:p w14:paraId="566259FC" w14:textId="77777777" w:rsidR="00935D74" w:rsidRPr="004E2B6D" w:rsidRDefault="00935D74" w:rsidP="00935D74">
      <w:pPr>
        <w:spacing w:after="0" w:line="240" w:lineRule="auto"/>
        <w:jc w:val="center"/>
        <w:rPr>
          <w:rFonts w:ascii="Times New Roman" w:hAnsi="Times New Roman" w:cs="Times New Roman"/>
          <w:sz w:val="20"/>
          <w:szCs w:val="20"/>
        </w:rPr>
      </w:pPr>
    </w:p>
    <w:tbl>
      <w:tblPr>
        <w:tblW w:w="7386" w:type="dxa"/>
        <w:jc w:val="center"/>
        <w:tblInd w:w="76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49"/>
        <w:gridCol w:w="709"/>
        <w:gridCol w:w="1243"/>
        <w:gridCol w:w="1275"/>
        <w:gridCol w:w="1134"/>
        <w:gridCol w:w="1276"/>
      </w:tblGrid>
      <w:tr w:rsidR="004E2B6D" w:rsidRPr="004E2B6D" w14:paraId="1B955165" w14:textId="77777777" w:rsidTr="004019CD">
        <w:trPr>
          <w:trHeight w:val="170"/>
          <w:tblHeader/>
          <w:jc w:val="center"/>
        </w:trPr>
        <w:tc>
          <w:tcPr>
            <w:tcW w:w="2458" w:type="dxa"/>
            <w:gridSpan w:val="2"/>
            <w:vMerge w:val="restart"/>
            <w:shd w:val="clear" w:color="auto" w:fill="auto"/>
            <w:vAlign w:val="center"/>
          </w:tcPr>
          <w:p w14:paraId="0997AF56" w14:textId="77777777" w:rsidR="00A65B26" w:rsidRPr="004E2B6D" w:rsidRDefault="00A65B26" w:rsidP="00935D74">
            <w:pPr>
              <w:pStyle w:val="ListParagraph"/>
              <w:ind w:left="0"/>
              <w:jc w:val="center"/>
              <w:rPr>
                <w:sz w:val="20"/>
                <w:szCs w:val="20"/>
              </w:rPr>
            </w:pPr>
            <w:r w:rsidRPr="004E2B6D">
              <w:rPr>
                <w:sz w:val="20"/>
                <w:szCs w:val="20"/>
              </w:rPr>
              <w:t>Kategori</w:t>
            </w:r>
          </w:p>
        </w:tc>
        <w:tc>
          <w:tcPr>
            <w:tcW w:w="3652" w:type="dxa"/>
            <w:gridSpan w:val="3"/>
            <w:shd w:val="clear" w:color="auto" w:fill="auto"/>
            <w:vAlign w:val="center"/>
          </w:tcPr>
          <w:p w14:paraId="1B2E2BBE" w14:textId="77777777" w:rsidR="00A65B26" w:rsidRPr="004E2B6D" w:rsidRDefault="00A65B26" w:rsidP="00935D74">
            <w:pPr>
              <w:pStyle w:val="ListParagraph"/>
              <w:ind w:left="0"/>
              <w:jc w:val="center"/>
              <w:rPr>
                <w:sz w:val="20"/>
                <w:szCs w:val="20"/>
              </w:rPr>
            </w:pPr>
            <w:r w:rsidRPr="004E2B6D">
              <w:rPr>
                <w:sz w:val="20"/>
                <w:szCs w:val="20"/>
              </w:rPr>
              <w:t>Kecemasan</w:t>
            </w:r>
          </w:p>
        </w:tc>
        <w:tc>
          <w:tcPr>
            <w:tcW w:w="1276" w:type="dxa"/>
            <w:vMerge w:val="restart"/>
            <w:shd w:val="clear" w:color="auto" w:fill="auto"/>
            <w:vAlign w:val="center"/>
          </w:tcPr>
          <w:p w14:paraId="5550E606" w14:textId="77777777" w:rsidR="00A65B26" w:rsidRPr="004E2B6D" w:rsidRDefault="00A65B26" w:rsidP="00935D74">
            <w:pPr>
              <w:pStyle w:val="ListParagraph"/>
              <w:ind w:left="0"/>
              <w:jc w:val="center"/>
              <w:rPr>
                <w:sz w:val="20"/>
                <w:szCs w:val="20"/>
              </w:rPr>
            </w:pPr>
            <w:r w:rsidRPr="004E2B6D">
              <w:rPr>
                <w:sz w:val="20"/>
                <w:szCs w:val="20"/>
              </w:rPr>
              <w:t>Total</w:t>
            </w:r>
          </w:p>
        </w:tc>
      </w:tr>
      <w:tr w:rsidR="004E2B6D" w:rsidRPr="004E2B6D" w14:paraId="540A7DAF" w14:textId="77777777" w:rsidTr="004019CD">
        <w:trPr>
          <w:trHeight w:val="170"/>
          <w:tblHeader/>
          <w:jc w:val="center"/>
        </w:trPr>
        <w:tc>
          <w:tcPr>
            <w:tcW w:w="2458" w:type="dxa"/>
            <w:gridSpan w:val="2"/>
            <w:vMerge/>
            <w:shd w:val="clear" w:color="auto" w:fill="auto"/>
          </w:tcPr>
          <w:p w14:paraId="4A6041AB" w14:textId="77777777" w:rsidR="00A65B26" w:rsidRPr="004E2B6D" w:rsidRDefault="00A65B26" w:rsidP="00935D74">
            <w:pPr>
              <w:pStyle w:val="ListParagraph"/>
              <w:ind w:left="0"/>
              <w:jc w:val="center"/>
              <w:rPr>
                <w:sz w:val="20"/>
                <w:szCs w:val="20"/>
              </w:rPr>
            </w:pPr>
          </w:p>
        </w:tc>
        <w:tc>
          <w:tcPr>
            <w:tcW w:w="1243" w:type="dxa"/>
            <w:shd w:val="clear" w:color="auto" w:fill="auto"/>
            <w:vAlign w:val="center"/>
          </w:tcPr>
          <w:p w14:paraId="69C41CE1" w14:textId="77777777" w:rsidR="00A65B26" w:rsidRPr="004E2B6D" w:rsidRDefault="00A65B26" w:rsidP="00935D74">
            <w:pPr>
              <w:pStyle w:val="ListParagraph"/>
              <w:ind w:left="0"/>
              <w:jc w:val="center"/>
              <w:rPr>
                <w:sz w:val="20"/>
                <w:szCs w:val="20"/>
              </w:rPr>
            </w:pPr>
            <w:r w:rsidRPr="004E2B6D">
              <w:rPr>
                <w:sz w:val="20"/>
                <w:szCs w:val="20"/>
              </w:rPr>
              <w:t>Ringan</w:t>
            </w:r>
          </w:p>
        </w:tc>
        <w:tc>
          <w:tcPr>
            <w:tcW w:w="1275" w:type="dxa"/>
            <w:shd w:val="clear" w:color="auto" w:fill="auto"/>
            <w:vAlign w:val="center"/>
          </w:tcPr>
          <w:p w14:paraId="2394C2D3" w14:textId="77777777" w:rsidR="00A65B26" w:rsidRPr="004E2B6D" w:rsidRDefault="00A65B26" w:rsidP="00935D74">
            <w:pPr>
              <w:pStyle w:val="ListParagraph"/>
              <w:ind w:left="0"/>
              <w:jc w:val="center"/>
              <w:rPr>
                <w:sz w:val="20"/>
                <w:szCs w:val="20"/>
              </w:rPr>
            </w:pPr>
            <w:r w:rsidRPr="004E2B6D">
              <w:rPr>
                <w:sz w:val="20"/>
                <w:szCs w:val="20"/>
              </w:rPr>
              <w:t>Sedang</w:t>
            </w:r>
          </w:p>
        </w:tc>
        <w:tc>
          <w:tcPr>
            <w:tcW w:w="1134" w:type="dxa"/>
            <w:shd w:val="clear" w:color="auto" w:fill="auto"/>
            <w:vAlign w:val="center"/>
          </w:tcPr>
          <w:p w14:paraId="1D02DF63" w14:textId="77777777" w:rsidR="00A65B26" w:rsidRPr="004E2B6D" w:rsidRDefault="00A65B26" w:rsidP="00935D74">
            <w:pPr>
              <w:pStyle w:val="ListParagraph"/>
              <w:ind w:left="0"/>
              <w:jc w:val="center"/>
              <w:rPr>
                <w:sz w:val="20"/>
                <w:szCs w:val="20"/>
              </w:rPr>
            </w:pPr>
            <w:r w:rsidRPr="004E2B6D">
              <w:rPr>
                <w:sz w:val="20"/>
                <w:szCs w:val="20"/>
              </w:rPr>
              <w:t>Berat</w:t>
            </w:r>
          </w:p>
        </w:tc>
        <w:tc>
          <w:tcPr>
            <w:tcW w:w="1276" w:type="dxa"/>
            <w:vMerge/>
            <w:shd w:val="clear" w:color="auto" w:fill="auto"/>
          </w:tcPr>
          <w:p w14:paraId="12409E6D" w14:textId="77777777" w:rsidR="00A65B26" w:rsidRPr="004E2B6D" w:rsidRDefault="00A65B26" w:rsidP="00935D74">
            <w:pPr>
              <w:pStyle w:val="ListParagraph"/>
              <w:ind w:left="0"/>
              <w:jc w:val="center"/>
              <w:rPr>
                <w:sz w:val="20"/>
                <w:szCs w:val="20"/>
              </w:rPr>
            </w:pPr>
          </w:p>
        </w:tc>
      </w:tr>
      <w:tr w:rsidR="004E2B6D" w:rsidRPr="004E2B6D" w14:paraId="43D67279" w14:textId="77777777" w:rsidTr="004019CD">
        <w:trPr>
          <w:trHeight w:val="170"/>
          <w:tblHeader/>
          <w:jc w:val="center"/>
        </w:trPr>
        <w:tc>
          <w:tcPr>
            <w:tcW w:w="1749" w:type="dxa"/>
            <w:shd w:val="clear" w:color="auto" w:fill="auto"/>
            <w:vAlign w:val="center"/>
          </w:tcPr>
          <w:p w14:paraId="4ADC92B7" w14:textId="77777777" w:rsidR="00042A6A" w:rsidRPr="004E2B6D" w:rsidRDefault="00042A6A" w:rsidP="00935D74">
            <w:pPr>
              <w:pStyle w:val="ListParagraph"/>
              <w:ind w:left="0"/>
              <w:jc w:val="center"/>
              <w:rPr>
                <w:sz w:val="20"/>
                <w:szCs w:val="20"/>
              </w:rPr>
            </w:pPr>
            <w:r w:rsidRPr="004E2B6D">
              <w:rPr>
                <w:sz w:val="20"/>
                <w:szCs w:val="20"/>
              </w:rPr>
              <w:t>Usia</w:t>
            </w:r>
          </w:p>
        </w:tc>
        <w:tc>
          <w:tcPr>
            <w:tcW w:w="709" w:type="dxa"/>
            <w:shd w:val="clear" w:color="auto" w:fill="auto"/>
            <w:vAlign w:val="center"/>
          </w:tcPr>
          <w:p w14:paraId="0AF54263" w14:textId="77777777" w:rsidR="00042A6A" w:rsidRPr="004E2B6D" w:rsidRDefault="00042A6A" w:rsidP="00935D74">
            <w:pPr>
              <w:pStyle w:val="ListParagraph"/>
              <w:ind w:left="0"/>
              <w:jc w:val="center"/>
              <w:rPr>
                <w:sz w:val="20"/>
                <w:szCs w:val="20"/>
              </w:rPr>
            </w:pPr>
          </w:p>
        </w:tc>
        <w:tc>
          <w:tcPr>
            <w:tcW w:w="1243" w:type="dxa"/>
            <w:shd w:val="clear" w:color="auto" w:fill="auto"/>
            <w:vAlign w:val="center"/>
          </w:tcPr>
          <w:p w14:paraId="7E008383" w14:textId="77777777" w:rsidR="00042A6A" w:rsidRPr="004E2B6D" w:rsidRDefault="00042A6A" w:rsidP="00935D74">
            <w:pPr>
              <w:pStyle w:val="ListParagraph"/>
              <w:ind w:left="0"/>
              <w:jc w:val="center"/>
              <w:rPr>
                <w:sz w:val="20"/>
                <w:szCs w:val="20"/>
              </w:rPr>
            </w:pPr>
          </w:p>
        </w:tc>
        <w:tc>
          <w:tcPr>
            <w:tcW w:w="1275" w:type="dxa"/>
            <w:shd w:val="clear" w:color="auto" w:fill="auto"/>
            <w:vAlign w:val="center"/>
          </w:tcPr>
          <w:p w14:paraId="74C23797" w14:textId="77777777" w:rsidR="00042A6A" w:rsidRPr="004E2B6D" w:rsidRDefault="00042A6A" w:rsidP="00935D74">
            <w:pPr>
              <w:pStyle w:val="ListParagraph"/>
              <w:ind w:left="0"/>
              <w:jc w:val="center"/>
              <w:rPr>
                <w:sz w:val="20"/>
                <w:szCs w:val="20"/>
              </w:rPr>
            </w:pPr>
          </w:p>
        </w:tc>
        <w:tc>
          <w:tcPr>
            <w:tcW w:w="1134" w:type="dxa"/>
            <w:shd w:val="clear" w:color="auto" w:fill="auto"/>
            <w:vAlign w:val="center"/>
          </w:tcPr>
          <w:p w14:paraId="59DB9790" w14:textId="77777777" w:rsidR="00042A6A" w:rsidRPr="004E2B6D" w:rsidRDefault="00042A6A" w:rsidP="00935D74">
            <w:pPr>
              <w:pStyle w:val="ListParagraph"/>
              <w:ind w:left="0"/>
              <w:jc w:val="center"/>
              <w:rPr>
                <w:sz w:val="20"/>
                <w:szCs w:val="20"/>
              </w:rPr>
            </w:pPr>
          </w:p>
        </w:tc>
        <w:tc>
          <w:tcPr>
            <w:tcW w:w="1276" w:type="dxa"/>
            <w:shd w:val="clear" w:color="auto" w:fill="auto"/>
            <w:vAlign w:val="center"/>
          </w:tcPr>
          <w:p w14:paraId="3184845B" w14:textId="7A7DE58F" w:rsidR="00042A6A" w:rsidRPr="004E2B6D" w:rsidRDefault="00042A6A" w:rsidP="00935D74">
            <w:pPr>
              <w:pStyle w:val="ListParagraph"/>
              <w:ind w:left="0"/>
              <w:jc w:val="center"/>
              <w:rPr>
                <w:sz w:val="20"/>
                <w:szCs w:val="20"/>
              </w:rPr>
            </w:pPr>
          </w:p>
        </w:tc>
      </w:tr>
      <w:tr w:rsidR="004E2B6D" w:rsidRPr="004E2B6D" w14:paraId="08AA7988" w14:textId="77777777" w:rsidTr="004019CD">
        <w:trPr>
          <w:trHeight w:val="170"/>
          <w:tblHeader/>
          <w:jc w:val="center"/>
        </w:trPr>
        <w:tc>
          <w:tcPr>
            <w:tcW w:w="1749" w:type="dxa"/>
            <w:vMerge w:val="restart"/>
            <w:shd w:val="clear" w:color="auto" w:fill="auto"/>
            <w:vAlign w:val="center"/>
          </w:tcPr>
          <w:p w14:paraId="14F25683" w14:textId="77777777" w:rsidR="00C86A6B" w:rsidRPr="004E2B6D" w:rsidRDefault="00C86A6B" w:rsidP="00935D74">
            <w:pPr>
              <w:pStyle w:val="ListParagraph"/>
              <w:ind w:left="0"/>
              <w:jc w:val="center"/>
              <w:rPr>
                <w:bCs/>
                <w:sz w:val="20"/>
                <w:szCs w:val="20"/>
              </w:rPr>
            </w:pPr>
            <w:r w:rsidRPr="004E2B6D">
              <w:rPr>
                <w:bCs/>
                <w:sz w:val="20"/>
                <w:szCs w:val="20"/>
              </w:rPr>
              <w:t>26–30 tahun</w:t>
            </w:r>
          </w:p>
        </w:tc>
        <w:tc>
          <w:tcPr>
            <w:tcW w:w="709" w:type="dxa"/>
            <w:shd w:val="clear" w:color="auto" w:fill="auto"/>
            <w:vAlign w:val="center"/>
          </w:tcPr>
          <w:p w14:paraId="2FEDAF2A" w14:textId="77777777" w:rsidR="00C86A6B" w:rsidRPr="004E2B6D" w:rsidRDefault="00C86A6B" w:rsidP="00935D74">
            <w:pPr>
              <w:pStyle w:val="ListParagraph"/>
              <w:ind w:left="0"/>
              <w:jc w:val="center"/>
              <w:rPr>
                <w:bCs/>
                <w:sz w:val="20"/>
                <w:szCs w:val="20"/>
              </w:rPr>
            </w:pPr>
            <w:r w:rsidRPr="004E2B6D">
              <w:rPr>
                <w:bCs/>
                <w:sz w:val="20"/>
                <w:szCs w:val="20"/>
              </w:rPr>
              <w:t>n</w:t>
            </w:r>
          </w:p>
        </w:tc>
        <w:tc>
          <w:tcPr>
            <w:tcW w:w="1243" w:type="dxa"/>
            <w:shd w:val="clear" w:color="auto" w:fill="auto"/>
            <w:vAlign w:val="center"/>
          </w:tcPr>
          <w:p w14:paraId="4C65B45A"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5" w:type="dxa"/>
            <w:shd w:val="clear" w:color="auto" w:fill="auto"/>
            <w:vAlign w:val="center"/>
          </w:tcPr>
          <w:p w14:paraId="74C4AF38" w14:textId="77777777" w:rsidR="00C86A6B" w:rsidRPr="004E2B6D" w:rsidRDefault="00C86A6B" w:rsidP="00935D74">
            <w:pPr>
              <w:pStyle w:val="ListParagraph"/>
              <w:ind w:left="0"/>
              <w:jc w:val="center"/>
              <w:rPr>
                <w:bCs/>
                <w:sz w:val="20"/>
                <w:szCs w:val="20"/>
              </w:rPr>
            </w:pPr>
            <w:r w:rsidRPr="004E2B6D">
              <w:rPr>
                <w:bCs/>
                <w:sz w:val="20"/>
                <w:szCs w:val="20"/>
              </w:rPr>
              <w:t>1</w:t>
            </w:r>
          </w:p>
        </w:tc>
        <w:tc>
          <w:tcPr>
            <w:tcW w:w="1134" w:type="dxa"/>
            <w:shd w:val="clear" w:color="auto" w:fill="auto"/>
            <w:vAlign w:val="center"/>
          </w:tcPr>
          <w:p w14:paraId="3882DEF8"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6" w:type="dxa"/>
            <w:vMerge w:val="restart"/>
            <w:shd w:val="clear" w:color="auto" w:fill="auto"/>
            <w:vAlign w:val="center"/>
          </w:tcPr>
          <w:p w14:paraId="0FB0B207" w14:textId="2875F54F" w:rsidR="00C86A6B" w:rsidRPr="004E2B6D" w:rsidRDefault="00C86A6B" w:rsidP="00935D74">
            <w:pPr>
              <w:pStyle w:val="ListParagraph"/>
              <w:ind w:left="0"/>
              <w:jc w:val="center"/>
              <w:rPr>
                <w:bCs/>
                <w:sz w:val="20"/>
                <w:szCs w:val="20"/>
              </w:rPr>
            </w:pPr>
            <w:r w:rsidRPr="004E2B6D">
              <w:rPr>
                <w:bCs/>
                <w:sz w:val="20"/>
                <w:szCs w:val="20"/>
              </w:rPr>
              <w:t>0,917</w:t>
            </w:r>
          </w:p>
        </w:tc>
      </w:tr>
      <w:tr w:rsidR="004E2B6D" w:rsidRPr="004E2B6D" w14:paraId="045C11AF" w14:textId="77777777" w:rsidTr="004019CD">
        <w:trPr>
          <w:trHeight w:val="170"/>
          <w:tblHeader/>
          <w:jc w:val="center"/>
        </w:trPr>
        <w:tc>
          <w:tcPr>
            <w:tcW w:w="1749" w:type="dxa"/>
            <w:vMerge/>
            <w:shd w:val="clear" w:color="auto" w:fill="auto"/>
            <w:vAlign w:val="center"/>
          </w:tcPr>
          <w:p w14:paraId="0F0518B9" w14:textId="77777777" w:rsidR="00C86A6B" w:rsidRPr="004E2B6D" w:rsidRDefault="00C86A6B" w:rsidP="00935D74">
            <w:pPr>
              <w:pStyle w:val="ListParagraph"/>
              <w:ind w:left="0"/>
              <w:jc w:val="center"/>
              <w:rPr>
                <w:bCs/>
                <w:sz w:val="20"/>
                <w:szCs w:val="20"/>
              </w:rPr>
            </w:pPr>
          </w:p>
        </w:tc>
        <w:tc>
          <w:tcPr>
            <w:tcW w:w="709" w:type="dxa"/>
            <w:shd w:val="clear" w:color="auto" w:fill="auto"/>
            <w:vAlign w:val="center"/>
          </w:tcPr>
          <w:p w14:paraId="51921B2B" w14:textId="77777777" w:rsidR="00C86A6B" w:rsidRPr="004E2B6D" w:rsidRDefault="00C86A6B" w:rsidP="00935D74">
            <w:pPr>
              <w:pStyle w:val="ListParagraph"/>
              <w:ind w:left="0"/>
              <w:jc w:val="center"/>
              <w:rPr>
                <w:bCs/>
                <w:sz w:val="20"/>
                <w:szCs w:val="20"/>
              </w:rPr>
            </w:pPr>
            <w:r w:rsidRPr="004E2B6D">
              <w:rPr>
                <w:bCs/>
                <w:sz w:val="20"/>
                <w:szCs w:val="20"/>
              </w:rPr>
              <w:t>%</w:t>
            </w:r>
          </w:p>
        </w:tc>
        <w:tc>
          <w:tcPr>
            <w:tcW w:w="1243" w:type="dxa"/>
            <w:shd w:val="clear" w:color="auto" w:fill="auto"/>
            <w:vAlign w:val="center"/>
          </w:tcPr>
          <w:p w14:paraId="6D290FAB"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5" w:type="dxa"/>
            <w:shd w:val="clear" w:color="auto" w:fill="auto"/>
            <w:vAlign w:val="center"/>
          </w:tcPr>
          <w:p w14:paraId="5B4B0529" w14:textId="77777777" w:rsidR="00C86A6B" w:rsidRPr="004E2B6D" w:rsidRDefault="00C86A6B" w:rsidP="00935D74">
            <w:pPr>
              <w:pStyle w:val="ListParagraph"/>
              <w:ind w:left="0"/>
              <w:jc w:val="center"/>
              <w:rPr>
                <w:bCs/>
                <w:sz w:val="20"/>
                <w:szCs w:val="20"/>
              </w:rPr>
            </w:pPr>
            <w:r w:rsidRPr="004E2B6D">
              <w:rPr>
                <w:bCs/>
                <w:sz w:val="20"/>
                <w:szCs w:val="20"/>
              </w:rPr>
              <w:t>3,8</w:t>
            </w:r>
          </w:p>
        </w:tc>
        <w:tc>
          <w:tcPr>
            <w:tcW w:w="1134" w:type="dxa"/>
            <w:shd w:val="clear" w:color="auto" w:fill="auto"/>
            <w:vAlign w:val="center"/>
          </w:tcPr>
          <w:p w14:paraId="6811E16A"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6" w:type="dxa"/>
            <w:vMerge/>
            <w:shd w:val="clear" w:color="auto" w:fill="auto"/>
            <w:vAlign w:val="center"/>
          </w:tcPr>
          <w:p w14:paraId="11019273" w14:textId="1AAD84C6" w:rsidR="00C86A6B" w:rsidRPr="004E2B6D" w:rsidRDefault="00C86A6B" w:rsidP="00935D74">
            <w:pPr>
              <w:pStyle w:val="ListParagraph"/>
              <w:ind w:left="0"/>
              <w:jc w:val="center"/>
              <w:rPr>
                <w:bCs/>
                <w:sz w:val="20"/>
                <w:szCs w:val="20"/>
              </w:rPr>
            </w:pPr>
          </w:p>
        </w:tc>
      </w:tr>
      <w:tr w:rsidR="004E2B6D" w:rsidRPr="004E2B6D" w14:paraId="25236491" w14:textId="77777777" w:rsidTr="004019CD">
        <w:trPr>
          <w:trHeight w:val="170"/>
          <w:tblHeader/>
          <w:jc w:val="center"/>
        </w:trPr>
        <w:tc>
          <w:tcPr>
            <w:tcW w:w="1749" w:type="dxa"/>
            <w:vMerge w:val="restart"/>
            <w:shd w:val="clear" w:color="auto" w:fill="auto"/>
            <w:vAlign w:val="center"/>
          </w:tcPr>
          <w:p w14:paraId="5B1F1A20" w14:textId="77777777" w:rsidR="00C86A6B" w:rsidRPr="004E2B6D" w:rsidRDefault="00C86A6B" w:rsidP="00935D74">
            <w:pPr>
              <w:pStyle w:val="ListParagraph"/>
              <w:ind w:left="0"/>
              <w:jc w:val="center"/>
              <w:rPr>
                <w:bCs/>
                <w:sz w:val="20"/>
                <w:szCs w:val="20"/>
              </w:rPr>
            </w:pPr>
            <w:r w:rsidRPr="004E2B6D">
              <w:rPr>
                <w:bCs/>
                <w:sz w:val="20"/>
                <w:szCs w:val="20"/>
              </w:rPr>
              <w:lastRenderedPageBreak/>
              <w:t>31–40 tahun</w:t>
            </w:r>
          </w:p>
        </w:tc>
        <w:tc>
          <w:tcPr>
            <w:tcW w:w="709" w:type="dxa"/>
            <w:shd w:val="clear" w:color="auto" w:fill="auto"/>
            <w:vAlign w:val="center"/>
          </w:tcPr>
          <w:p w14:paraId="533A1644" w14:textId="77777777" w:rsidR="00C86A6B" w:rsidRPr="004E2B6D" w:rsidRDefault="00C86A6B" w:rsidP="00935D74">
            <w:pPr>
              <w:pStyle w:val="ListParagraph"/>
              <w:ind w:left="0"/>
              <w:jc w:val="center"/>
              <w:rPr>
                <w:bCs/>
                <w:sz w:val="20"/>
                <w:szCs w:val="20"/>
              </w:rPr>
            </w:pPr>
            <w:r w:rsidRPr="004E2B6D">
              <w:rPr>
                <w:bCs/>
                <w:sz w:val="20"/>
                <w:szCs w:val="20"/>
              </w:rPr>
              <w:t>n</w:t>
            </w:r>
          </w:p>
        </w:tc>
        <w:tc>
          <w:tcPr>
            <w:tcW w:w="1243" w:type="dxa"/>
            <w:shd w:val="clear" w:color="auto" w:fill="auto"/>
            <w:vAlign w:val="center"/>
          </w:tcPr>
          <w:p w14:paraId="767503F8" w14:textId="77777777" w:rsidR="00C86A6B" w:rsidRPr="004E2B6D" w:rsidRDefault="00C86A6B" w:rsidP="00935D74">
            <w:pPr>
              <w:pStyle w:val="ListParagraph"/>
              <w:ind w:left="0"/>
              <w:jc w:val="center"/>
              <w:rPr>
                <w:bCs/>
                <w:sz w:val="20"/>
                <w:szCs w:val="20"/>
              </w:rPr>
            </w:pPr>
            <w:r w:rsidRPr="004E2B6D">
              <w:rPr>
                <w:bCs/>
                <w:sz w:val="20"/>
                <w:szCs w:val="20"/>
              </w:rPr>
              <w:t>8</w:t>
            </w:r>
          </w:p>
        </w:tc>
        <w:tc>
          <w:tcPr>
            <w:tcW w:w="1275" w:type="dxa"/>
            <w:shd w:val="clear" w:color="auto" w:fill="auto"/>
            <w:vAlign w:val="center"/>
          </w:tcPr>
          <w:p w14:paraId="02263610" w14:textId="77777777" w:rsidR="00C86A6B" w:rsidRPr="004E2B6D" w:rsidRDefault="00C86A6B" w:rsidP="00935D74">
            <w:pPr>
              <w:pStyle w:val="ListParagraph"/>
              <w:ind w:left="0"/>
              <w:jc w:val="center"/>
              <w:rPr>
                <w:bCs/>
                <w:sz w:val="20"/>
                <w:szCs w:val="20"/>
              </w:rPr>
            </w:pPr>
            <w:r w:rsidRPr="004E2B6D">
              <w:rPr>
                <w:bCs/>
                <w:sz w:val="20"/>
                <w:szCs w:val="20"/>
              </w:rPr>
              <w:t>10</w:t>
            </w:r>
          </w:p>
        </w:tc>
        <w:tc>
          <w:tcPr>
            <w:tcW w:w="1134" w:type="dxa"/>
            <w:shd w:val="clear" w:color="auto" w:fill="auto"/>
            <w:vAlign w:val="center"/>
          </w:tcPr>
          <w:p w14:paraId="0EF4A5C2" w14:textId="77777777" w:rsidR="00C86A6B" w:rsidRPr="004E2B6D" w:rsidRDefault="00C86A6B" w:rsidP="00935D74">
            <w:pPr>
              <w:pStyle w:val="ListParagraph"/>
              <w:ind w:left="0"/>
              <w:jc w:val="center"/>
              <w:rPr>
                <w:bCs/>
                <w:sz w:val="20"/>
                <w:szCs w:val="20"/>
              </w:rPr>
            </w:pPr>
            <w:r w:rsidRPr="004E2B6D">
              <w:rPr>
                <w:bCs/>
                <w:sz w:val="20"/>
                <w:szCs w:val="20"/>
              </w:rPr>
              <w:t>1</w:t>
            </w:r>
          </w:p>
        </w:tc>
        <w:tc>
          <w:tcPr>
            <w:tcW w:w="1276" w:type="dxa"/>
            <w:vMerge/>
            <w:shd w:val="clear" w:color="auto" w:fill="auto"/>
            <w:vAlign w:val="center"/>
          </w:tcPr>
          <w:p w14:paraId="5A87C1D1" w14:textId="6CAABCFE" w:rsidR="00C86A6B" w:rsidRPr="004E2B6D" w:rsidRDefault="00C86A6B" w:rsidP="00935D74">
            <w:pPr>
              <w:pStyle w:val="ListParagraph"/>
              <w:ind w:left="0"/>
              <w:jc w:val="center"/>
              <w:rPr>
                <w:bCs/>
                <w:sz w:val="20"/>
                <w:szCs w:val="20"/>
              </w:rPr>
            </w:pPr>
          </w:p>
        </w:tc>
      </w:tr>
      <w:tr w:rsidR="004E2B6D" w:rsidRPr="004E2B6D" w14:paraId="5A4D8C28" w14:textId="77777777" w:rsidTr="004019CD">
        <w:trPr>
          <w:trHeight w:val="170"/>
          <w:tblHeader/>
          <w:jc w:val="center"/>
        </w:trPr>
        <w:tc>
          <w:tcPr>
            <w:tcW w:w="1749" w:type="dxa"/>
            <w:vMerge/>
            <w:shd w:val="clear" w:color="auto" w:fill="auto"/>
            <w:vAlign w:val="center"/>
          </w:tcPr>
          <w:p w14:paraId="59D5C8E5" w14:textId="77777777" w:rsidR="00C86A6B" w:rsidRPr="004E2B6D" w:rsidRDefault="00C86A6B" w:rsidP="00935D74">
            <w:pPr>
              <w:pStyle w:val="ListParagraph"/>
              <w:ind w:left="0"/>
              <w:jc w:val="center"/>
              <w:rPr>
                <w:bCs/>
                <w:sz w:val="20"/>
                <w:szCs w:val="20"/>
              </w:rPr>
            </w:pPr>
          </w:p>
        </w:tc>
        <w:tc>
          <w:tcPr>
            <w:tcW w:w="709" w:type="dxa"/>
            <w:shd w:val="clear" w:color="auto" w:fill="auto"/>
            <w:vAlign w:val="center"/>
          </w:tcPr>
          <w:p w14:paraId="7988D833" w14:textId="77777777" w:rsidR="00C86A6B" w:rsidRPr="004E2B6D" w:rsidRDefault="00C86A6B" w:rsidP="00935D74">
            <w:pPr>
              <w:pStyle w:val="ListParagraph"/>
              <w:ind w:left="0"/>
              <w:jc w:val="center"/>
              <w:rPr>
                <w:bCs/>
                <w:sz w:val="20"/>
                <w:szCs w:val="20"/>
              </w:rPr>
            </w:pPr>
            <w:r w:rsidRPr="004E2B6D">
              <w:rPr>
                <w:bCs/>
                <w:sz w:val="20"/>
                <w:szCs w:val="20"/>
              </w:rPr>
              <w:t>%</w:t>
            </w:r>
          </w:p>
        </w:tc>
        <w:tc>
          <w:tcPr>
            <w:tcW w:w="1243" w:type="dxa"/>
            <w:shd w:val="clear" w:color="auto" w:fill="auto"/>
            <w:vAlign w:val="center"/>
          </w:tcPr>
          <w:p w14:paraId="11DB02A8" w14:textId="77777777" w:rsidR="00C86A6B" w:rsidRPr="004E2B6D" w:rsidRDefault="00C86A6B" w:rsidP="00935D74">
            <w:pPr>
              <w:pStyle w:val="ListParagraph"/>
              <w:ind w:left="0"/>
              <w:jc w:val="center"/>
              <w:rPr>
                <w:bCs/>
                <w:sz w:val="20"/>
                <w:szCs w:val="20"/>
              </w:rPr>
            </w:pPr>
            <w:r w:rsidRPr="004E2B6D">
              <w:rPr>
                <w:bCs/>
                <w:sz w:val="20"/>
                <w:szCs w:val="20"/>
              </w:rPr>
              <w:t>42,1</w:t>
            </w:r>
          </w:p>
        </w:tc>
        <w:tc>
          <w:tcPr>
            <w:tcW w:w="1275" w:type="dxa"/>
            <w:shd w:val="clear" w:color="auto" w:fill="auto"/>
            <w:vAlign w:val="center"/>
          </w:tcPr>
          <w:p w14:paraId="1A01B0B0" w14:textId="77777777" w:rsidR="00C86A6B" w:rsidRPr="004E2B6D" w:rsidRDefault="00C86A6B" w:rsidP="00935D74">
            <w:pPr>
              <w:pStyle w:val="ListParagraph"/>
              <w:ind w:left="0"/>
              <w:jc w:val="center"/>
              <w:rPr>
                <w:bCs/>
                <w:sz w:val="20"/>
                <w:szCs w:val="20"/>
              </w:rPr>
            </w:pPr>
            <w:r w:rsidRPr="004E2B6D">
              <w:rPr>
                <w:bCs/>
                <w:sz w:val="20"/>
                <w:szCs w:val="20"/>
              </w:rPr>
              <w:t>38,5</w:t>
            </w:r>
          </w:p>
        </w:tc>
        <w:tc>
          <w:tcPr>
            <w:tcW w:w="1134" w:type="dxa"/>
            <w:shd w:val="clear" w:color="auto" w:fill="auto"/>
            <w:vAlign w:val="center"/>
          </w:tcPr>
          <w:p w14:paraId="4DE4189E" w14:textId="77777777" w:rsidR="00C86A6B" w:rsidRPr="004E2B6D" w:rsidRDefault="00C86A6B" w:rsidP="00935D74">
            <w:pPr>
              <w:pStyle w:val="ListParagraph"/>
              <w:ind w:left="0"/>
              <w:jc w:val="center"/>
              <w:rPr>
                <w:bCs/>
                <w:sz w:val="20"/>
                <w:szCs w:val="20"/>
              </w:rPr>
            </w:pPr>
            <w:r w:rsidRPr="004E2B6D">
              <w:rPr>
                <w:bCs/>
                <w:sz w:val="20"/>
                <w:szCs w:val="20"/>
              </w:rPr>
              <w:t>33,3</w:t>
            </w:r>
          </w:p>
        </w:tc>
        <w:tc>
          <w:tcPr>
            <w:tcW w:w="1276" w:type="dxa"/>
            <w:vMerge/>
            <w:shd w:val="clear" w:color="auto" w:fill="auto"/>
            <w:vAlign w:val="center"/>
          </w:tcPr>
          <w:p w14:paraId="42914695" w14:textId="5C590226" w:rsidR="00C86A6B" w:rsidRPr="004E2B6D" w:rsidRDefault="00C86A6B" w:rsidP="00935D74">
            <w:pPr>
              <w:pStyle w:val="ListParagraph"/>
              <w:ind w:left="0"/>
              <w:jc w:val="center"/>
              <w:rPr>
                <w:bCs/>
                <w:sz w:val="20"/>
                <w:szCs w:val="20"/>
              </w:rPr>
            </w:pPr>
          </w:p>
        </w:tc>
      </w:tr>
      <w:tr w:rsidR="004E2B6D" w:rsidRPr="004E2B6D" w14:paraId="18C5A8B7" w14:textId="77777777" w:rsidTr="004019CD">
        <w:trPr>
          <w:trHeight w:val="170"/>
          <w:tblHeader/>
          <w:jc w:val="center"/>
        </w:trPr>
        <w:tc>
          <w:tcPr>
            <w:tcW w:w="1749" w:type="dxa"/>
            <w:vMerge w:val="restart"/>
            <w:shd w:val="clear" w:color="auto" w:fill="auto"/>
            <w:vAlign w:val="center"/>
          </w:tcPr>
          <w:p w14:paraId="6C06C60D" w14:textId="77777777" w:rsidR="00C86A6B" w:rsidRPr="004E2B6D" w:rsidRDefault="00C86A6B" w:rsidP="00935D74">
            <w:pPr>
              <w:pStyle w:val="ListParagraph"/>
              <w:ind w:left="0"/>
              <w:jc w:val="center"/>
              <w:rPr>
                <w:bCs/>
                <w:sz w:val="20"/>
                <w:szCs w:val="20"/>
              </w:rPr>
            </w:pPr>
            <w:r w:rsidRPr="004E2B6D">
              <w:rPr>
                <w:bCs/>
                <w:sz w:val="20"/>
                <w:szCs w:val="20"/>
              </w:rPr>
              <w:t>41-50  tahun</w:t>
            </w:r>
          </w:p>
        </w:tc>
        <w:tc>
          <w:tcPr>
            <w:tcW w:w="709" w:type="dxa"/>
            <w:shd w:val="clear" w:color="auto" w:fill="auto"/>
            <w:vAlign w:val="center"/>
          </w:tcPr>
          <w:p w14:paraId="5AE8D3A9" w14:textId="77777777" w:rsidR="00C86A6B" w:rsidRPr="004E2B6D" w:rsidRDefault="00C86A6B" w:rsidP="00935D74">
            <w:pPr>
              <w:pStyle w:val="ListParagraph"/>
              <w:ind w:left="0"/>
              <w:jc w:val="center"/>
              <w:rPr>
                <w:bCs/>
                <w:sz w:val="20"/>
                <w:szCs w:val="20"/>
              </w:rPr>
            </w:pPr>
            <w:r w:rsidRPr="004E2B6D">
              <w:rPr>
                <w:bCs/>
                <w:sz w:val="20"/>
                <w:szCs w:val="20"/>
              </w:rPr>
              <w:t>n</w:t>
            </w:r>
          </w:p>
        </w:tc>
        <w:tc>
          <w:tcPr>
            <w:tcW w:w="1243" w:type="dxa"/>
            <w:shd w:val="clear" w:color="auto" w:fill="auto"/>
            <w:vAlign w:val="center"/>
          </w:tcPr>
          <w:p w14:paraId="310CECD0" w14:textId="77777777" w:rsidR="00C86A6B" w:rsidRPr="004E2B6D" w:rsidRDefault="00C86A6B" w:rsidP="00935D74">
            <w:pPr>
              <w:pStyle w:val="ListParagraph"/>
              <w:ind w:left="0"/>
              <w:jc w:val="center"/>
              <w:rPr>
                <w:bCs/>
                <w:sz w:val="20"/>
                <w:szCs w:val="20"/>
              </w:rPr>
            </w:pPr>
            <w:r w:rsidRPr="004E2B6D">
              <w:rPr>
                <w:bCs/>
                <w:sz w:val="20"/>
                <w:szCs w:val="20"/>
              </w:rPr>
              <w:t>11</w:t>
            </w:r>
          </w:p>
        </w:tc>
        <w:tc>
          <w:tcPr>
            <w:tcW w:w="1275" w:type="dxa"/>
            <w:shd w:val="clear" w:color="auto" w:fill="auto"/>
            <w:vAlign w:val="center"/>
          </w:tcPr>
          <w:p w14:paraId="57E5A90C" w14:textId="77777777" w:rsidR="00C86A6B" w:rsidRPr="004E2B6D" w:rsidRDefault="00C86A6B" w:rsidP="00935D74">
            <w:pPr>
              <w:pStyle w:val="ListParagraph"/>
              <w:ind w:left="0"/>
              <w:jc w:val="center"/>
              <w:rPr>
                <w:bCs/>
                <w:sz w:val="20"/>
                <w:szCs w:val="20"/>
              </w:rPr>
            </w:pPr>
            <w:r w:rsidRPr="004E2B6D">
              <w:rPr>
                <w:bCs/>
                <w:sz w:val="20"/>
                <w:szCs w:val="20"/>
              </w:rPr>
              <w:t>15</w:t>
            </w:r>
          </w:p>
        </w:tc>
        <w:tc>
          <w:tcPr>
            <w:tcW w:w="1134" w:type="dxa"/>
            <w:shd w:val="clear" w:color="auto" w:fill="auto"/>
            <w:vAlign w:val="center"/>
          </w:tcPr>
          <w:p w14:paraId="2093281F" w14:textId="77777777" w:rsidR="00C86A6B" w:rsidRPr="004E2B6D" w:rsidRDefault="00C86A6B" w:rsidP="00935D74">
            <w:pPr>
              <w:pStyle w:val="ListParagraph"/>
              <w:ind w:left="0"/>
              <w:jc w:val="center"/>
              <w:rPr>
                <w:bCs/>
                <w:sz w:val="20"/>
                <w:szCs w:val="20"/>
              </w:rPr>
            </w:pPr>
            <w:r w:rsidRPr="004E2B6D">
              <w:rPr>
                <w:bCs/>
                <w:sz w:val="20"/>
                <w:szCs w:val="20"/>
              </w:rPr>
              <w:t>2</w:t>
            </w:r>
          </w:p>
        </w:tc>
        <w:tc>
          <w:tcPr>
            <w:tcW w:w="1276" w:type="dxa"/>
            <w:vMerge/>
            <w:shd w:val="clear" w:color="auto" w:fill="auto"/>
            <w:vAlign w:val="center"/>
          </w:tcPr>
          <w:p w14:paraId="48770347" w14:textId="698F2868" w:rsidR="00C86A6B" w:rsidRPr="004E2B6D" w:rsidRDefault="00C86A6B" w:rsidP="00935D74">
            <w:pPr>
              <w:pStyle w:val="ListParagraph"/>
              <w:ind w:left="0"/>
              <w:jc w:val="center"/>
              <w:rPr>
                <w:bCs/>
                <w:sz w:val="20"/>
                <w:szCs w:val="20"/>
              </w:rPr>
            </w:pPr>
          </w:p>
        </w:tc>
      </w:tr>
      <w:tr w:rsidR="004E2B6D" w:rsidRPr="004E2B6D" w14:paraId="390D3B75" w14:textId="77777777" w:rsidTr="004019CD">
        <w:trPr>
          <w:trHeight w:val="170"/>
          <w:tblHeader/>
          <w:jc w:val="center"/>
        </w:trPr>
        <w:tc>
          <w:tcPr>
            <w:tcW w:w="1749" w:type="dxa"/>
            <w:vMerge/>
            <w:shd w:val="clear" w:color="auto" w:fill="auto"/>
            <w:vAlign w:val="center"/>
          </w:tcPr>
          <w:p w14:paraId="71E639DD" w14:textId="77777777" w:rsidR="00C86A6B" w:rsidRPr="004E2B6D" w:rsidRDefault="00C86A6B" w:rsidP="00935D74">
            <w:pPr>
              <w:pStyle w:val="ListParagraph"/>
              <w:ind w:left="0"/>
              <w:jc w:val="center"/>
              <w:rPr>
                <w:bCs/>
                <w:sz w:val="20"/>
                <w:szCs w:val="20"/>
              </w:rPr>
            </w:pPr>
          </w:p>
        </w:tc>
        <w:tc>
          <w:tcPr>
            <w:tcW w:w="709" w:type="dxa"/>
            <w:shd w:val="clear" w:color="auto" w:fill="auto"/>
            <w:vAlign w:val="center"/>
          </w:tcPr>
          <w:p w14:paraId="2846B4C5" w14:textId="77777777" w:rsidR="00C86A6B" w:rsidRPr="004E2B6D" w:rsidRDefault="00C86A6B" w:rsidP="00935D74">
            <w:pPr>
              <w:pStyle w:val="ListParagraph"/>
              <w:ind w:left="0"/>
              <w:jc w:val="center"/>
              <w:rPr>
                <w:bCs/>
                <w:sz w:val="20"/>
                <w:szCs w:val="20"/>
              </w:rPr>
            </w:pPr>
            <w:r w:rsidRPr="004E2B6D">
              <w:rPr>
                <w:bCs/>
                <w:sz w:val="20"/>
                <w:szCs w:val="20"/>
              </w:rPr>
              <w:t>%</w:t>
            </w:r>
          </w:p>
        </w:tc>
        <w:tc>
          <w:tcPr>
            <w:tcW w:w="1243" w:type="dxa"/>
            <w:shd w:val="clear" w:color="auto" w:fill="auto"/>
            <w:vAlign w:val="center"/>
          </w:tcPr>
          <w:p w14:paraId="3B91A92E" w14:textId="77777777" w:rsidR="00C86A6B" w:rsidRPr="004E2B6D" w:rsidRDefault="00C86A6B" w:rsidP="00935D74">
            <w:pPr>
              <w:pStyle w:val="ListParagraph"/>
              <w:ind w:left="0"/>
              <w:jc w:val="center"/>
              <w:rPr>
                <w:bCs/>
                <w:sz w:val="20"/>
                <w:szCs w:val="20"/>
              </w:rPr>
            </w:pPr>
            <w:r w:rsidRPr="004E2B6D">
              <w:rPr>
                <w:bCs/>
                <w:sz w:val="20"/>
                <w:szCs w:val="20"/>
              </w:rPr>
              <w:t>57,9</w:t>
            </w:r>
          </w:p>
        </w:tc>
        <w:tc>
          <w:tcPr>
            <w:tcW w:w="1275" w:type="dxa"/>
            <w:shd w:val="clear" w:color="auto" w:fill="auto"/>
            <w:vAlign w:val="center"/>
          </w:tcPr>
          <w:p w14:paraId="5E142BB7" w14:textId="77777777" w:rsidR="00C86A6B" w:rsidRPr="004E2B6D" w:rsidRDefault="00C86A6B" w:rsidP="00935D74">
            <w:pPr>
              <w:pStyle w:val="ListParagraph"/>
              <w:ind w:left="0"/>
              <w:jc w:val="center"/>
              <w:rPr>
                <w:bCs/>
                <w:sz w:val="20"/>
                <w:szCs w:val="20"/>
              </w:rPr>
            </w:pPr>
            <w:r w:rsidRPr="004E2B6D">
              <w:rPr>
                <w:bCs/>
                <w:sz w:val="20"/>
                <w:szCs w:val="20"/>
              </w:rPr>
              <w:t>57,7</w:t>
            </w:r>
          </w:p>
        </w:tc>
        <w:tc>
          <w:tcPr>
            <w:tcW w:w="1134" w:type="dxa"/>
            <w:shd w:val="clear" w:color="auto" w:fill="auto"/>
            <w:vAlign w:val="center"/>
          </w:tcPr>
          <w:p w14:paraId="46DDFBCC" w14:textId="77777777" w:rsidR="00C86A6B" w:rsidRPr="004E2B6D" w:rsidRDefault="00C86A6B" w:rsidP="00935D74">
            <w:pPr>
              <w:pStyle w:val="ListParagraph"/>
              <w:ind w:left="0"/>
              <w:jc w:val="center"/>
              <w:rPr>
                <w:bCs/>
                <w:sz w:val="20"/>
                <w:szCs w:val="20"/>
              </w:rPr>
            </w:pPr>
            <w:r w:rsidRPr="004E2B6D">
              <w:rPr>
                <w:bCs/>
                <w:sz w:val="20"/>
                <w:szCs w:val="20"/>
              </w:rPr>
              <w:t>66,7</w:t>
            </w:r>
          </w:p>
        </w:tc>
        <w:tc>
          <w:tcPr>
            <w:tcW w:w="1276" w:type="dxa"/>
            <w:vMerge/>
            <w:shd w:val="clear" w:color="auto" w:fill="auto"/>
            <w:vAlign w:val="center"/>
          </w:tcPr>
          <w:p w14:paraId="4D11A5AA" w14:textId="3C9590D9" w:rsidR="00C86A6B" w:rsidRPr="004E2B6D" w:rsidRDefault="00C86A6B" w:rsidP="00935D74">
            <w:pPr>
              <w:pStyle w:val="ListParagraph"/>
              <w:ind w:left="0"/>
              <w:jc w:val="center"/>
              <w:rPr>
                <w:bCs/>
                <w:sz w:val="20"/>
                <w:szCs w:val="20"/>
              </w:rPr>
            </w:pPr>
          </w:p>
        </w:tc>
      </w:tr>
      <w:tr w:rsidR="004E2B6D" w:rsidRPr="004E2B6D" w14:paraId="0A7CE758" w14:textId="77777777" w:rsidTr="004019CD">
        <w:trPr>
          <w:trHeight w:val="170"/>
          <w:tblHeader/>
          <w:jc w:val="center"/>
        </w:trPr>
        <w:tc>
          <w:tcPr>
            <w:tcW w:w="1749" w:type="dxa"/>
            <w:shd w:val="clear" w:color="auto" w:fill="auto"/>
            <w:vAlign w:val="center"/>
          </w:tcPr>
          <w:p w14:paraId="5381F508" w14:textId="77777777" w:rsidR="00042A6A" w:rsidRPr="004E2B6D" w:rsidRDefault="00042A6A" w:rsidP="00935D74">
            <w:pPr>
              <w:pStyle w:val="ListParagraph"/>
              <w:ind w:left="0"/>
              <w:jc w:val="center"/>
              <w:rPr>
                <w:sz w:val="20"/>
                <w:szCs w:val="20"/>
              </w:rPr>
            </w:pPr>
            <w:r w:rsidRPr="004E2B6D">
              <w:rPr>
                <w:sz w:val="20"/>
                <w:szCs w:val="20"/>
              </w:rPr>
              <w:t>Jenis kelamin</w:t>
            </w:r>
          </w:p>
        </w:tc>
        <w:tc>
          <w:tcPr>
            <w:tcW w:w="709" w:type="dxa"/>
            <w:shd w:val="clear" w:color="auto" w:fill="auto"/>
            <w:vAlign w:val="center"/>
          </w:tcPr>
          <w:p w14:paraId="3BA210D1" w14:textId="77777777" w:rsidR="00042A6A" w:rsidRPr="004E2B6D" w:rsidRDefault="00042A6A" w:rsidP="00935D74">
            <w:pPr>
              <w:pStyle w:val="ListParagraph"/>
              <w:ind w:left="0"/>
              <w:jc w:val="center"/>
              <w:rPr>
                <w:sz w:val="20"/>
                <w:szCs w:val="20"/>
              </w:rPr>
            </w:pPr>
          </w:p>
        </w:tc>
        <w:tc>
          <w:tcPr>
            <w:tcW w:w="1243" w:type="dxa"/>
            <w:shd w:val="clear" w:color="auto" w:fill="auto"/>
            <w:vAlign w:val="center"/>
          </w:tcPr>
          <w:p w14:paraId="536C04C1" w14:textId="77777777" w:rsidR="00042A6A" w:rsidRPr="004E2B6D" w:rsidRDefault="00042A6A" w:rsidP="00935D74">
            <w:pPr>
              <w:pStyle w:val="ListParagraph"/>
              <w:ind w:left="0"/>
              <w:jc w:val="center"/>
              <w:rPr>
                <w:sz w:val="20"/>
                <w:szCs w:val="20"/>
              </w:rPr>
            </w:pPr>
          </w:p>
        </w:tc>
        <w:tc>
          <w:tcPr>
            <w:tcW w:w="1275" w:type="dxa"/>
            <w:shd w:val="clear" w:color="auto" w:fill="auto"/>
            <w:vAlign w:val="center"/>
          </w:tcPr>
          <w:p w14:paraId="71FF505A" w14:textId="77777777" w:rsidR="00042A6A" w:rsidRPr="004E2B6D" w:rsidRDefault="00042A6A" w:rsidP="00935D74">
            <w:pPr>
              <w:pStyle w:val="ListParagraph"/>
              <w:ind w:left="0"/>
              <w:jc w:val="center"/>
              <w:rPr>
                <w:sz w:val="20"/>
                <w:szCs w:val="20"/>
              </w:rPr>
            </w:pPr>
          </w:p>
        </w:tc>
        <w:tc>
          <w:tcPr>
            <w:tcW w:w="1134" w:type="dxa"/>
            <w:shd w:val="clear" w:color="auto" w:fill="auto"/>
            <w:vAlign w:val="center"/>
          </w:tcPr>
          <w:p w14:paraId="6ABA90A4" w14:textId="77777777" w:rsidR="00042A6A" w:rsidRPr="004E2B6D" w:rsidRDefault="00042A6A" w:rsidP="00935D74">
            <w:pPr>
              <w:pStyle w:val="ListParagraph"/>
              <w:ind w:left="0"/>
              <w:jc w:val="center"/>
              <w:rPr>
                <w:sz w:val="20"/>
                <w:szCs w:val="20"/>
              </w:rPr>
            </w:pPr>
          </w:p>
        </w:tc>
        <w:tc>
          <w:tcPr>
            <w:tcW w:w="1276" w:type="dxa"/>
            <w:shd w:val="clear" w:color="auto" w:fill="auto"/>
            <w:vAlign w:val="center"/>
          </w:tcPr>
          <w:p w14:paraId="4BAEC308" w14:textId="04307EED" w:rsidR="00042A6A" w:rsidRPr="004E2B6D" w:rsidRDefault="00042A6A" w:rsidP="00935D74">
            <w:pPr>
              <w:pStyle w:val="ListParagraph"/>
              <w:ind w:left="0"/>
              <w:jc w:val="center"/>
              <w:rPr>
                <w:sz w:val="20"/>
                <w:szCs w:val="20"/>
              </w:rPr>
            </w:pPr>
          </w:p>
        </w:tc>
      </w:tr>
      <w:tr w:rsidR="004E2B6D" w:rsidRPr="004E2B6D" w14:paraId="508AF09F" w14:textId="77777777" w:rsidTr="004019CD">
        <w:trPr>
          <w:trHeight w:val="170"/>
          <w:tblHeader/>
          <w:jc w:val="center"/>
        </w:trPr>
        <w:tc>
          <w:tcPr>
            <w:tcW w:w="1749" w:type="dxa"/>
            <w:vMerge w:val="restart"/>
            <w:shd w:val="clear" w:color="auto" w:fill="auto"/>
            <w:vAlign w:val="center"/>
          </w:tcPr>
          <w:p w14:paraId="74C3E1D9" w14:textId="77777777" w:rsidR="00C86A6B" w:rsidRPr="004E2B6D" w:rsidRDefault="00C86A6B" w:rsidP="00935D74">
            <w:pPr>
              <w:pStyle w:val="ListParagraph"/>
              <w:ind w:left="0"/>
              <w:jc w:val="center"/>
              <w:rPr>
                <w:bCs/>
                <w:sz w:val="20"/>
                <w:szCs w:val="20"/>
              </w:rPr>
            </w:pPr>
            <w:r w:rsidRPr="004E2B6D">
              <w:rPr>
                <w:bCs/>
                <w:sz w:val="20"/>
                <w:szCs w:val="20"/>
              </w:rPr>
              <w:t>Perempuan</w:t>
            </w:r>
          </w:p>
        </w:tc>
        <w:tc>
          <w:tcPr>
            <w:tcW w:w="709" w:type="dxa"/>
            <w:shd w:val="clear" w:color="auto" w:fill="auto"/>
            <w:vAlign w:val="center"/>
          </w:tcPr>
          <w:p w14:paraId="19BC3B98" w14:textId="77777777" w:rsidR="00C86A6B" w:rsidRPr="004E2B6D" w:rsidRDefault="00C86A6B" w:rsidP="00935D74">
            <w:pPr>
              <w:pStyle w:val="ListParagraph"/>
              <w:ind w:left="0"/>
              <w:jc w:val="center"/>
              <w:rPr>
                <w:bCs/>
                <w:sz w:val="20"/>
                <w:szCs w:val="20"/>
              </w:rPr>
            </w:pPr>
            <w:r w:rsidRPr="004E2B6D">
              <w:rPr>
                <w:bCs/>
                <w:sz w:val="20"/>
                <w:szCs w:val="20"/>
              </w:rPr>
              <w:t>n</w:t>
            </w:r>
          </w:p>
        </w:tc>
        <w:tc>
          <w:tcPr>
            <w:tcW w:w="1243" w:type="dxa"/>
            <w:shd w:val="clear" w:color="auto" w:fill="auto"/>
            <w:vAlign w:val="center"/>
          </w:tcPr>
          <w:p w14:paraId="6546F023" w14:textId="77777777" w:rsidR="00C86A6B" w:rsidRPr="004E2B6D" w:rsidRDefault="00C86A6B" w:rsidP="00935D74">
            <w:pPr>
              <w:pStyle w:val="ListParagraph"/>
              <w:ind w:left="0"/>
              <w:jc w:val="center"/>
              <w:rPr>
                <w:bCs/>
                <w:sz w:val="20"/>
                <w:szCs w:val="20"/>
              </w:rPr>
            </w:pPr>
            <w:r w:rsidRPr="004E2B6D">
              <w:rPr>
                <w:bCs/>
                <w:sz w:val="20"/>
                <w:szCs w:val="20"/>
              </w:rPr>
              <w:t>10</w:t>
            </w:r>
          </w:p>
        </w:tc>
        <w:tc>
          <w:tcPr>
            <w:tcW w:w="1275" w:type="dxa"/>
            <w:shd w:val="clear" w:color="auto" w:fill="auto"/>
            <w:vAlign w:val="center"/>
          </w:tcPr>
          <w:p w14:paraId="6D775836" w14:textId="77777777" w:rsidR="00C86A6B" w:rsidRPr="004E2B6D" w:rsidRDefault="00C86A6B" w:rsidP="00935D74">
            <w:pPr>
              <w:pStyle w:val="ListParagraph"/>
              <w:ind w:left="0"/>
              <w:jc w:val="center"/>
              <w:rPr>
                <w:bCs/>
                <w:sz w:val="20"/>
                <w:szCs w:val="20"/>
              </w:rPr>
            </w:pPr>
            <w:r w:rsidRPr="004E2B6D">
              <w:rPr>
                <w:bCs/>
                <w:sz w:val="20"/>
                <w:szCs w:val="20"/>
              </w:rPr>
              <w:t>19</w:t>
            </w:r>
          </w:p>
        </w:tc>
        <w:tc>
          <w:tcPr>
            <w:tcW w:w="1134" w:type="dxa"/>
            <w:shd w:val="clear" w:color="auto" w:fill="auto"/>
            <w:vAlign w:val="center"/>
          </w:tcPr>
          <w:p w14:paraId="1680063B" w14:textId="77777777" w:rsidR="00C86A6B" w:rsidRPr="004E2B6D" w:rsidRDefault="00C86A6B" w:rsidP="00935D74">
            <w:pPr>
              <w:pStyle w:val="ListParagraph"/>
              <w:ind w:left="0"/>
              <w:jc w:val="center"/>
              <w:rPr>
                <w:bCs/>
                <w:sz w:val="20"/>
                <w:szCs w:val="20"/>
              </w:rPr>
            </w:pPr>
            <w:r w:rsidRPr="004E2B6D">
              <w:rPr>
                <w:bCs/>
                <w:sz w:val="20"/>
                <w:szCs w:val="20"/>
              </w:rPr>
              <w:t>2</w:t>
            </w:r>
          </w:p>
        </w:tc>
        <w:tc>
          <w:tcPr>
            <w:tcW w:w="1276" w:type="dxa"/>
            <w:vMerge w:val="restart"/>
            <w:shd w:val="clear" w:color="auto" w:fill="auto"/>
            <w:vAlign w:val="center"/>
          </w:tcPr>
          <w:p w14:paraId="487BCD97" w14:textId="4AF8BB50" w:rsidR="00C86A6B" w:rsidRPr="004E2B6D" w:rsidRDefault="00C86A6B" w:rsidP="00935D74">
            <w:pPr>
              <w:pStyle w:val="ListParagraph"/>
              <w:ind w:left="0"/>
              <w:jc w:val="center"/>
              <w:rPr>
                <w:bCs/>
                <w:sz w:val="20"/>
                <w:szCs w:val="20"/>
              </w:rPr>
            </w:pPr>
            <w:r w:rsidRPr="004E2B6D">
              <w:rPr>
                <w:bCs/>
                <w:sz w:val="20"/>
                <w:szCs w:val="20"/>
              </w:rPr>
              <w:t>0,366</w:t>
            </w:r>
          </w:p>
        </w:tc>
      </w:tr>
      <w:tr w:rsidR="004E2B6D" w:rsidRPr="004E2B6D" w14:paraId="2C076729" w14:textId="77777777" w:rsidTr="004019CD">
        <w:trPr>
          <w:trHeight w:val="170"/>
          <w:tblHeader/>
          <w:jc w:val="center"/>
        </w:trPr>
        <w:tc>
          <w:tcPr>
            <w:tcW w:w="1749" w:type="dxa"/>
            <w:vMerge/>
            <w:shd w:val="clear" w:color="auto" w:fill="auto"/>
            <w:vAlign w:val="center"/>
          </w:tcPr>
          <w:p w14:paraId="7D3DEAA3" w14:textId="77777777" w:rsidR="00C86A6B" w:rsidRPr="004E2B6D" w:rsidRDefault="00C86A6B" w:rsidP="00935D74">
            <w:pPr>
              <w:pStyle w:val="ListParagraph"/>
              <w:ind w:left="0"/>
              <w:jc w:val="center"/>
              <w:rPr>
                <w:bCs/>
                <w:sz w:val="20"/>
                <w:szCs w:val="20"/>
              </w:rPr>
            </w:pPr>
          </w:p>
        </w:tc>
        <w:tc>
          <w:tcPr>
            <w:tcW w:w="709" w:type="dxa"/>
            <w:shd w:val="clear" w:color="auto" w:fill="auto"/>
            <w:vAlign w:val="center"/>
          </w:tcPr>
          <w:p w14:paraId="4B5F581D" w14:textId="77777777" w:rsidR="00C86A6B" w:rsidRPr="004E2B6D" w:rsidRDefault="00C86A6B" w:rsidP="00935D74">
            <w:pPr>
              <w:pStyle w:val="ListParagraph"/>
              <w:ind w:left="0"/>
              <w:jc w:val="center"/>
              <w:rPr>
                <w:bCs/>
                <w:sz w:val="20"/>
                <w:szCs w:val="20"/>
              </w:rPr>
            </w:pPr>
            <w:r w:rsidRPr="004E2B6D">
              <w:rPr>
                <w:bCs/>
                <w:sz w:val="20"/>
                <w:szCs w:val="20"/>
              </w:rPr>
              <w:t>%</w:t>
            </w:r>
          </w:p>
        </w:tc>
        <w:tc>
          <w:tcPr>
            <w:tcW w:w="1243" w:type="dxa"/>
            <w:shd w:val="clear" w:color="auto" w:fill="auto"/>
            <w:vAlign w:val="center"/>
          </w:tcPr>
          <w:p w14:paraId="23C435C4" w14:textId="77777777" w:rsidR="00C86A6B" w:rsidRPr="004E2B6D" w:rsidRDefault="00C86A6B" w:rsidP="00935D74">
            <w:pPr>
              <w:pStyle w:val="ListParagraph"/>
              <w:ind w:left="0"/>
              <w:jc w:val="center"/>
              <w:rPr>
                <w:bCs/>
                <w:sz w:val="20"/>
                <w:szCs w:val="20"/>
              </w:rPr>
            </w:pPr>
            <w:r w:rsidRPr="004E2B6D">
              <w:rPr>
                <w:bCs/>
                <w:sz w:val="20"/>
                <w:szCs w:val="20"/>
              </w:rPr>
              <w:t>52,6</w:t>
            </w:r>
          </w:p>
        </w:tc>
        <w:tc>
          <w:tcPr>
            <w:tcW w:w="1275" w:type="dxa"/>
            <w:shd w:val="clear" w:color="auto" w:fill="auto"/>
            <w:vAlign w:val="center"/>
          </w:tcPr>
          <w:p w14:paraId="394F62E4" w14:textId="77777777" w:rsidR="00C86A6B" w:rsidRPr="004E2B6D" w:rsidRDefault="00C86A6B" w:rsidP="00935D74">
            <w:pPr>
              <w:pStyle w:val="ListParagraph"/>
              <w:ind w:left="0"/>
              <w:jc w:val="center"/>
              <w:rPr>
                <w:bCs/>
                <w:sz w:val="20"/>
                <w:szCs w:val="20"/>
              </w:rPr>
            </w:pPr>
            <w:r w:rsidRPr="004E2B6D">
              <w:rPr>
                <w:bCs/>
                <w:sz w:val="20"/>
                <w:szCs w:val="20"/>
              </w:rPr>
              <w:t>73,1</w:t>
            </w:r>
          </w:p>
        </w:tc>
        <w:tc>
          <w:tcPr>
            <w:tcW w:w="1134" w:type="dxa"/>
            <w:shd w:val="clear" w:color="auto" w:fill="auto"/>
            <w:vAlign w:val="center"/>
          </w:tcPr>
          <w:p w14:paraId="359191A1" w14:textId="77777777" w:rsidR="00C86A6B" w:rsidRPr="004E2B6D" w:rsidRDefault="00C86A6B" w:rsidP="00935D74">
            <w:pPr>
              <w:pStyle w:val="ListParagraph"/>
              <w:ind w:left="0"/>
              <w:jc w:val="center"/>
              <w:rPr>
                <w:bCs/>
                <w:sz w:val="20"/>
                <w:szCs w:val="20"/>
              </w:rPr>
            </w:pPr>
            <w:r w:rsidRPr="004E2B6D">
              <w:rPr>
                <w:bCs/>
                <w:sz w:val="20"/>
                <w:szCs w:val="20"/>
              </w:rPr>
              <w:t>66,7</w:t>
            </w:r>
          </w:p>
        </w:tc>
        <w:tc>
          <w:tcPr>
            <w:tcW w:w="1276" w:type="dxa"/>
            <w:vMerge/>
            <w:shd w:val="clear" w:color="auto" w:fill="auto"/>
            <w:vAlign w:val="center"/>
          </w:tcPr>
          <w:p w14:paraId="2C8CAE4C" w14:textId="0E744BBF" w:rsidR="00C86A6B" w:rsidRPr="004E2B6D" w:rsidRDefault="00C86A6B" w:rsidP="00935D74">
            <w:pPr>
              <w:pStyle w:val="ListParagraph"/>
              <w:ind w:left="0"/>
              <w:jc w:val="center"/>
              <w:rPr>
                <w:bCs/>
                <w:sz w:val="20"/>
                <w:szCs w:val="20"/>
              </w:rPr>
            </w:pPr>
          </w:p>
        </w:tc>
      </w:tr>
      <w:tr w:rsidR="004E2B6D" w:rsidRPr="004E2B6D" w14:paraId="3FE8C557" w14:textId="77777777" w:rsidTr="004019CD">
        <w:trPr>
          <w:trHeight w:val="170"/>
          <w:tblHeader/>
          <w:jc w:val="center"/>
        </w:trPr>
        <w:tc>
          <w:tcPr>
            <w:tcW w:w="1749" w:type="dxa"/>
            <w:vMerge w:val="restart"/>
            <w:shd w:val="clear" w:color="auto" w:fill="auto"/>
            <w:vAlign w:val="center"/>
          </w:tcPr>
          <w:p w14:paraId="330D69A9" w14:textId="77777777" w:rsidR="00C86A6B" w:rsidRPr="004E2B6D" w:rsidRDefault="00C86A6B" w:rsidP="00935D74">
            <w:pPr>
              <w:pStyle w:val="ListParagraph"/>
              <w:ind w:left="0"/>
              <w:jc w:val="center"/>
              <w:rPr>
                <w:bCs/>
                <w:sz w:val="20"/>
                <w:szCs w:val="20"/>
              </w:rPr>
            </w:pPr>
            <w:r w:rsidRPr="004E2B6D">
              <w:rPr>
                <w:bCs/>
                <w:sz w:val="20"/>
                <w:szCs w:val="20"/>
              </w:rPr>
              <w:t>Laki-laki</w:t>
            </w:r>
          </w:p>
        </w:tc>
        <w:tc>
          <w:tcPr>
            <w:tcW w:w="709" w:type="dxa"/>
            <w:shd w:val="clear" w:color="auto" w:fill="auto"/>
            <w:vAlign w:val="center"/>
          </w:tcPr>
          <w:p w14:paraId="249B431A" w14:textId="77777777" w:rsidR="00C86A6B" w:rsidRPr="004E2B6D" w:rsidRDefault="00C86A6B" w:rsidP="00935D74">
            <w:pPr>
              <w:pStyle w:val="ListParagraph"/>
              <w:ind w:left="0"/>
              <w:jc w:val="center"/>
              <w:rPr>
                <w:bCs/>
                <w:sz w:val="20"/>
                <w:szCs w:val="20"/>
              </w:rPr>
            </w:pPr>
            <w:r w:rsidRPr="004E2B6D">
              <w:rPr>
                <w:bCs/>
                <w:sz w:val="20"/>
                <w:szCs w:val="20"/>
              </w:rPr>
              <w:t>n</w:t>
            </w:r>
          </w:p>
        </w:tc>
        <w:tc>
          <w:tcPr>
            <w:tcW w:w="1243" w:type="dxa"/>
            <w:shd w:val="clear" w:color="auto" w:fill="auto"/>
            <w:vAlign w:val="center"/>
          </w:tcPr>
          <w:p w14:paraId="7369F397" w14:textId="77777777" w:rsidR="00C86A6B" w:rsidRPr="004E2B6D" w:rsidRDefault="00C86A6B" w:rsidP="00935D74">
            <w:pPr>
              <w:pStyle w:val="ListParagraph"/>
              <w:ind w:left="0"/>
              <w:jc w:val="center"/>
              <w:rPr>
                <w:bCs/>
                <w:sz w:val="20"/>
                <w:szCs w:val="20"/>
              </w:rPr>
            </w:pPr>
            <w:r w:rsidRPr="004E2B6D">
              <w:rPr>
                <w:bCs/>
                <w:sz w:val="20"/>
                <w:szCs w:val="20"/>
              </w:rPr>
              <w:t>9</w:t>
            </w:r>
          </w:p>
        </w:tc>
        <w:tc>
          <w:tcPr>
            <w:tcW w:w="1275" w:type="dxa"/>
            <w:shd w:val="clear" w:color="auto" w:fill="auto"/>
            <w:vAlign w:val="center"/>
          </w:tcPr>
          <w:p w14:paraId="42B2DC12" w14:textId="77777777" w:rsidR="00C86A6B" w:rsidRPr="004E2B6D" w:rsidRDefault="00C86A6B" w:rsidP="00935D74">
            <w:pPr>
              <w:pStyle w:val="ListParagraph"/>
              <w:ind w:left="0"/>
              <w:jc w:val="center"/>
              <w:rPr>
                <w:bCs/>
                <w:sz w:val="20"/>
                <w:szCs w:val="20"/>
              </w:rPr>
            </w:pPr>
            <w:r w:rsidRPr="004E2B6D">
              <w:rPr>
                <w:bCs/>
                <w:sz w:val="20"/>
                <w:szCs w:val="20"/>
              </w:rPr>
              <w:t>7</w:t>
            </w:r>
          </w:p>
        </w:tc>
        <w:tc>
          <w:tcPr>
            <w:tcW w:w="1134" w:type="dxa"/>
            <w:shd w:val="clear" w:color="auto" w:fill="auto"/>
            <w:vAlign w:val="center"/>
          </w:tcPr>
          <w:p w14:paraId="62B16DE3" w14:textId="77777777" w:rsidR="00C86A6B" w:rsidRPr="004E2B6D" w:rsidRDefault="00C86A6B" w:rsidP="00935D74">
            <w:pPr>
              <w:pStyle w:val="ListParagraph"/>
              <w:ind w:left="0"/>
              <w:jc w:val="center"/>
              <w:rPr>
                <w:bCs/>
                <w:sz w:val="20"/>
                <w:szCs w:val="20"/>
              </w:rPr>
            </w:pPr>
            <w:r w:rsidRPr="004E2B6D">
              <w:rPr>
                <w:bCs/>
                <w:sz w:val="20"/>
                <w:szCs w:val="20"/>
              </w:rPr>
              <w:t>1</w:t>
            </w:r>
          </w:p>
        </w:tc>
        <w:tc>
          <w:tcPr>
            <w:tcW w:w="1276" w:type="dxa"/>
            <w:vMerge/>
            <w:shd w:val="clear" w:color="auto" w:fill="auto"/>
            <w:vAlign w:val="center"/>
          </w:tcPr>
          <w:p w14:paraId="4BD18504" w14:textId="7D4196D7" w:rsidR="00C86A6B" w:rsidRPr="004E2B6D" w:rsidRDefault="00C86A6B" w:rsidP="00935D74">
            <w:pPr>
              <w:pStyle w:val="ListParagraph"/>
              <w:ind w:left="0"/>
              <w:jc w:val="center"/>
              <w:rPr>
                <w:bCs/>
                <w:sz w:val="20"/>
                <w:szCs w:val="20"/>
              </w:rPr>
            </w:pPr>
          </w:p>
        </w:tc>
      </w:tr>
      <w:tr w:rsidR="004E2B6D" w:rsidRPr="004E2B6D" w14:paraId="1E3D4B60" w14:textId="77777777" w:rsidTr="004019CD">
        <w:trPr>
          <w:trHeight w:val="170"/>
          <w:tblHeader/>
          <w:jc w:val="center"/>
        </w:trPr>
        <w:tc>
          <w:tcPr>
            <w:tcW w:w="1749" w:type="dxa"/>
            <w:vMerge/>
            <w:shd w:val="clear" w:color="auto" w:fill="auto"/>
            <w:vAlign w:val="center"/>
          </w:tcPr>
          <w:p w14:paraId="5FE7811B" w14:textId="77777777" w:rsidR="00C86A6B" w:rsidRPr="004E2B6D" w:rsidRDefault="00C86A6B" w:rsidP="00935D74">
            <w:pPr>
              <w:pStyle w:val="ListParagraph"/>
              <w:ind w:left="0"/>
              <w:jc w:val="center"/>
              <w:rPr>
                <w:bCs/>
                <w:sz w:val="20"/>
                <w:szCs w:val="20"/>
              </w:rPr>
            </w:pPr>
          </w:p>
        </w:tc>
        <w:tc>
          <w:tcPr>
            <w:tcW w:w="709" w:type="dxa"/>
            <w:shd w:val="clear" w:color="auto" w:fill="auto"/>
            <w:vAlign w:val="center"/>
          </w:tcPr>
          <w:p w14:paraId="4F50D53B" w14:textId="77777777" w:rsidR="00C86A6B" w:rsidRPr="004E2B6D" w:rsidRDefault="00C86A6B" w:rsidP="00935D74">
            <w:pPr>
              <w:pStyle w:val="ListParagraph"/>
              <w:ind w:left="0"/>
              <w:jc w:val="center"/>
              <w:rPr>
                <w:bCs/>
                <w:sz w:val="20"/>
                <w:szCs w:val="20"/>
              </w:rPr>
            </w:pPr>
            <w:r w:rsidRPr="004E2B6D">
              <w:rPr>
                <w:bCs/>
                <w:sz w:val="20"/>
                <w:szCs w:val="20"/>
              </w:rPr>
              <w:t>%</w:t>
            </w:r>
          </w:p>
        </w:tc>
        <w:tc>
          <w:tcPr>
            <w:tcW w:w="1243" w:type="dxa"/>
            <w:shd w:val="clear" w:color="auto" w:fill="auto"/>
            <w:vAlign w:val="center"/>
          </w:tcPr>
          <w:p w14:paraId="6B110BE7" w14:textId="77777777" w:rsidR="00C86A6B" w:rsidRPr="004E2B6D" w:rsidRDefault="00C86A6B" w:rsidP="00935D74">
            <w:pPr>
              <w:pStyle w:val="ListParagraph"/>
              <w:ind w:left="0"/>
              <w:jc w:val="center"/>
              <w:rPr>
                <w:bCs/>
                <w:sz w:val="20"/>
                <w:szCs w:val="20"/>
              </w:rPr>
            </w:pPr>
            <w:r w:rsidRPr="004E2B6D">
              <w:rPr>
                <w:bCs/>
                <w:sz w:val="20"/>
                <w:szCs w:val="20"/>
              </w:rPr>
              <w:t>47,4</w:t>
            </w:r>
          </w:p>
        </w:tc>
        <w:tc>
          <w:tcPr>
            <w:tcW w:w="1275" w:type="dxa"/>
            <w:shd w:val="clear" w:color="auto" w:fill="auto"/>
            <w:vAlign w:val="center"/>
          </w:tcPr>
          <w:p w14:paraId="08028419" w14:textId="77777777" w:rsidR="00C86A6B" w:rsidRPr="004E2B6D" w:rsidRDefault="00C86A6B" w:rsidP="00935D74">
            <w:pPr>
              <w:pStyle w:val="ListParagraph"/>
              <w:ind w:left="0"/>
              <w:jc w:val="center"/>
              <w:rPr>
                <w:bCs/>
                <w:sz w:val="20"/>
                <w:szCs w:val="20"/>
              </w:rPr>
            </w:pPr>
            <w:r w:rsidRPr="004E2B6D">
              <w:rPr>
                <w:bCs/>
                <w:sz w:val="20"/>
                <w:szCs w:val="20"/>
              </w:rPr>
              <w:t>26,9</w:t>
            </w:r>
          </w:p>
        </w:tc>
        <w:tc>
          <w:tcPr>
            <w:tcW w:w="1134" w:type="dxa"/>
            <w:shd w:val="clear" w:color="auto" w:fill="auto"/>
            <w:vAlign w:val="center"/>
          </w:tcPr>
          <w:p w14:paraId="63926B34" w14:textId="77777777" w:rsidR="00C86A6B" w:rsidRPr="004E2B6D" w:rsidRDefault="00C86A6B" w:rsidP="00935D74">
            <w:pPr>
              <w:pStyle w:val="ListParagraph"/>
              <w:ind w:left="0"/>
              <w:jc w:val="center"/>
              <w:rPr>
                <w:bCs/>
                <w:sz w:val="20"/>
                <w:szCs w:val="20"/>
              </w:rPr>
            </w:pPr>
            <w:r w:rsidRPr="004E2B6D">
              <w:rPr>
                <w:bCs/>
                <w:sz w:val="20"/>
                <w:szCs w:val="20"/>
              </w:rPr>
              <w:t>33,3</w:t>
            </w:r>
          </w:p>
        </w:tc>
        <w:tc>
          <w:tcPr>
            <w:tcW w:w="1276" w:type="dxa"/>
            <w:vMerge/>
            <w:shd w:val="clear" w:color="auto" w:fill="auto"/>
            <w:vAlign w:val="center"/>
          </w:tcPr>
          <w:p w14:paraId="0327859B" w14:textId="75B46253" w:rsidR="00C86A6B" w:rsidRPr="004E2B6D" w:rsidRDefault="00C86A6B" w:rsidP="00935D74">
            <w:pPr>
              <w:pStyle w:val="ListParagraph"/>
              <w:ind w:left="0"/>
              <w:jc w:val="center"/>
              <w:rPr>
                <w:bCs/>
                <w:sz w:val="20"/>
                <w:szCs w:val="20"/>
              </w:rPr>
            </w:pPr>
          </w:p>
        </w:tc>
      </w:tr>
      <w:tr w:rsidR="004E2B6D" w:rsidRPr="004E2B6D" w14:paraId="6E71D252" w14:textId="77777777" w:rsidTr="004019CD">
        <w:trPr>
          <w:trHeight w:val="170"/>
          <w:tblHeader/>
          <w:jc w:val="center"/>
        </w:trPr>
        <w:tc>
          <w:tcPr>
            <w:tcW w:w="1749" w:type="dxa"/>
            <w:shd w:val="clear" w:color="auto" w:fill="auto"/>
            <w:vAlign w:val="center"/>
          </w:tcPr>
          <w:p w14:paraId="452D4285" w14:textId="77777777" w:rsidR="00042A6A" w:rsidRPr="004E2B6D" w:rsidRDefault="00042A6A" w:rsidP="00935D74">
            <w:pPr>
              <w:pStyle w:val="ListParagraph"/>
              <w:ind w:left="0"/>
              <w:jc w:val="center"/>
              <w:rPr>
                <w:sz w:val="20"/>
                <w:szCs w:val="20"/>
              </w:rPr>
            </w:pPr>
            <w:r w:rsidRPr="004E2B6D">
              <w:rPr>
                <w:sz w:val="20"/>
                <w:szCs w:val="20"/>
              </w:rPr>
              <w:t>Pendidikan</w:t>
            </w:r>
          </w:p>
        </w:tc>
        <w:tc>
          <w:tcPr>
            <w:tcW w:w="709" w:type="dxa"/>
            <w:shd w:val="clear" w:color="auto" w:fill="auto"/>
            <w:vAlign w:val="center"/>
          </w:tcPr>
          <w:p w14:paraId="745DB843" w14:textId="77777777" w:rsidR="00042A6A" w:rsidRPr="004E2B6D" w:rsidRDefault="00042A6A" w:rsidP="00935D74">
            <w:pPr>
              <w:pStyle w:val="ListParagraph"/>
              <w:ind w:left="0"/>
              <w:jc w:val="center"/>
              <w:rPr>
                <w:sz w:val="20"/>
                <w:szCs w:val="20"/>
              </w:rPr>
            </w:pPr>
          </w:p>
        </w:tc>
        <w:tc>
          <w:tcPr>
            <w:tcW w:w="1243" w:type="dxa"/>
            <w:shd w:val="clear" w:color="auto" w:fill="auto"/>
            <w:vAlign w:val="center"/>
          </w:tcPr>
          <w:p w14:paraId="4A72DB46" w14:textId="77777777" w:rsidR="00042A6A" w:rsidRPr="004E2B6D" w:rsidRDefault="00042A6A" w:rsidP="00935D74">
            <w:pPr>
              <w:pStyle w:val="ListParagraph"/>
              <w:ind w:left="0"/>
              <w:jc w:val="center"/>
              <w:rPr>
                <w:sz w:val="20"/>
                <w:szCs w:val="20"/>
              </w:rPr>
            </w:pPr>
          </w:p>
        </w:tc>
        <w:tc>
          <w:tcPr>
            <w:tcW w:w="1275" w:type="dxa"/>
            <w:shd w:val="clear" w:color="auto" w:fill="auto"/>
            <w:vAlign w:val="center"/>
          </w:tcPr>
          <w:p w14:paraId="3352ECDD" w14:textId="77777777" w:rsidR="00042A6A" w:rsidRPr="004E2B6D" w:rsidRDefault="00042A6A" w:rsidP="00935D74">
            <w:pPr>
              <w:pStyle w:val="ListParagraph"/>
              <w:ind w:left="0"/>
              <w:jc w:val="center"/>
              <w:rPr>
                <w:sz w:val="20"/>
                <w:szCs w:val="20"/>
              </w:rPr>
            </w:pPr>
          </w:p>
        </w:tc>
        <w:tc>
          <w:tcPr>
            <w:tcW w:w="1134" w:type="dxa"/>
            <w:shd w:val="clear" w:color="auto" w:fill="auto"/>
            <w:vAlign w:val="center"/>
          </w:tcPr>
          <w:p w14:paraId="0F55AB5C" w14:textId="77777777" w:rsidR="00042A6A" w:rsidRPr="004E2B6D" w:rsidRDefault="00042A6A" w:rsidP="00935D74">
            <w:pPr>
              <w:pStyle w:val="ListParagraph"/>
              <w:ind w:left="0"/>
              <w:jc w:val="center"/>
              <w:rPr>
                <w:sz w:val="20"/>
                <w:szCs w:val="20"/>
              </w:rPr>
            </w:pPr>
          </w:p>
        </w:tc>
        <w:tc>
          <w:tcPr>
            <w:tcW w:w="1276" w:type="dxa"/>
            <w:shd w:val="clear" w:color="auto" w:fill="auto"/>
            <w:vAlign w:val="center"/>
          </w:tcPr>
          <w:p w14:paraId="308160F8" w14:textId="0D8BBF0E" w:rsidR="00042A6A" w:rsidRPr="004E2B6D" w:rsidRDefault="00042A6A" w:rsidP="00935D74">
            <w:pPr>
              <w:pStyle w:val="ListParagraph"/>
              <w:ind w:left="0"/>
              <w:jc w:val="center"/>
              <w:rPr>
                <w:sz w:val="20"/>
                <w:szCs w:val="20"/>
              </w:rPr>
            </w:pPr>
          </w:p>
        </w:tc>
      </w:tr>
      <w:tr w:rsidR="004E2B6D" w:rsidRPr="004E2B6D" w14:paraId="2E2126FD" w14:textId="77777777" w:rsidTr="004019CD">
        <w:trPr>
          <w:trHeight w:val="170"/>
          <w:tblHeader/>
          <w:jc w:val="center"/>
        </w:trPr>
        <w:tc>
          <w:tcPr>
            <w:tcW w:w="1749" w:type="dxa"/>
            <w:vMerge w:val="restart"/>
            <w:shd w:val="clear" w:color="auto" w:fill="auto"/>
            <w:vAlign w:val="center"/>
          </w:tcPr>
          <w:p w14:paraId="1F9E97E4" w14:textId="77777777" w:rsidR="00C86A6B" w:rsidRPr="004E2B6D" w:rsidRDefault="00C86A6B" w:rsidP="00935D74">
            <w:pPr>
              <w:pStyle w:val="ListParagraph"/>
              <w:ind w:left="0"/>
              <w:jc w:val="center"/>
              <w:rPr>
                <w:bCs/>
                <w:sz w:val="20"/>
                <w:szCs w:val="20"/>
              </w:rPr>
            </w:pPr>
            <w:r w:rsidRPr="004E2B6D">
              <w:rPr>
                <w:bCs/>
                <w:sz w:val="20"/>
                <w:szCs w:val="20"/>
              </w:rPr>
              <w:t>SD</w:t>
            </w:r>
          </w:p>
        </w:tc>
        <w:tc>
          <w:tcPr>
            <w:tcW w:w="709" w:type="dxa"/>
            <w:shd w:val="clear" w:color="auto" w:fill="auto"/>
            <w:vAlign w:val="center"/>
          </w:tcPr>
          <w:p w14:paraId="2235C24C" w14:textId="77777777" w:rsidR="00C86A6B" w:rsidRPr="004E2B6D" w:rsidRDefault="00C86A6B" w:rsidP="00935D74">
            <w:pPr>
              <w:pStyle w:val="ListParagraph"/>
              <w:ind w:left="0"/>
              <w:jc w:val="center"/>
              <w:rPr>
                <w:bCs/>
                <w:sz w:val="20"/>
                <w:szCs w:val="20"/>
              </w:rPr>
            </w:pPr>
            <w:r w:rsidRPr="004E2B6D">
              <w:rPr>
                <w:bCs/>
                <w:sz w:val="20"/>
                <w:szCs w:val="20"/>
              </w:rPr>
              <w:t>n</w:t>
            </w:r>
          </w:p>
        </w:tc>
        <w:tc>
          <w:tcPr>
            <w:tcW w:w="1243" w:type="dxa"/>
            <w:shd w:val="clear" w:color="auto" w:fill="auto"/>
            <w:vAlign w:val="center"/>
          </w:tcPr>
          <w:p w14:paraId="036BA77E" w14:textId="77777777" w:rsidR="00C86A6B" w:rsidRPr="004E2B6D" w:rsidRDefault="00C86A6B" w:rsidP="00935D74">
            <w:pPr>
              <w:pStyle w:val="ListParagraph"/>
              <w:ind w:left="0"/>
              <w:jc w:val="center"/>
              <w:rPr>
                <w:bCs/>
                <w:sz w:val="20"/>
                <w:szCs w:val="20"/>
              </w:rPr>
            </w:pPr>
            <w:r w:rsidRPr="004E2B6D">
              <w:rPr>
                <w:bCs/>
                <w:sz w:val="20"/>
                <w:szCs w:val="20"/>
              </w:rPr>
              <w:t>2</w:t>
            </w:r>
          </w:p>
        </w:tc>
        <w:tc>
          <w:tcPr>
            <w:tcW w:w="1275" w:type="dxa"/>
            <w:shd w:val="clear" w:color="auto" w:fill="auto"/>
            <w:vAlign w:val="center"/>
          </w:tcPr>
          <w:p w14:paraId="540543FF" w14:textId="77777777" w:rsidR="00C86A6B" w:rsidRPr="004E2B6D" w:rsidRDefault="00C86A6B" w:rsidP="00935D74">
            <w:pPr>
              <w:pStyle w:val="ListParagraph"/>
              <w:ind w:left="0"/>
              <w:jc w:val="center"/>
              <w:rPr>
                <w:bCs/>
                <w:sz w:val="20"/>
                <w:szCs w:val="20"/>
              </w:rPr>
            </w:pPr>
            <w:r w:rsidRPr="004E2B6D">
              <w:rPr>
                <w:bCs/>
                <w:sz w:val="20"/>
                <w:szCs w:val="20"/>
              </w:rPr>
              <w:t>3</w:t>
            </w:r>
          </w:p>
        </w:tc>
        <w:tc>
          <w:tcPr>
            <w:tcW w:w="1134" w:type="dxa"/>
            <w:shd w:val="clear" w:color="auto" w:fill="auto"/>
            <w:vAlign w:val="center"/>
          </w:tcPr>
          <w:p w14:paraId="690E6274"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6" w:type="dxa"/>
            <w:vMerge w:val="restart"/>
            <w:shd w:val="clear" w:color="auto" w:fill="auto"/>
            <w:vAlign w:val="center"/>
          </w:tcPr>
          <w:p w14:paraId="67E3EDA8" w14:textId="25603A1C" w:rsidR="00C86A6B" w:rsidRPr="004E2B6D" w:rsidRDefault="00C86A6B" w:rsidP="00935D74">
            <w:pPr>
              <w:pStyle w:val="ListParagraph"/>
              <w:ind w:left="0"/>
              <w:jc w:val="center"/>
              <w:rPr>
                <w:bCs/>
                <w:sz w:val="20"/>
                <w:szCs w:val="20"/>
              </w:rPr>
            </w:pPr>
            <w:r w:rsidRPr="004E2B6D">
              <w:rPr>
                <w:bCs/>
                <w:sz w:val="20"/>
                <w:szCs w:val="20"/>
              </w:rPr>
              <w:t>0,495</w:t>
            </w:r>
          </w:p>
        </w:tc>
      </w:tr>
      <w:tr w:rsidR="004E2B6D" w:rsidRPr="004E2B6D" w14:paraId="5CCEC764" w14:textId="77777777" w:rsidTr="004019CD">
        <w:trPr>
          <w:trHeight w:val="170"/>
          <w:tblHeader/>
          <w:jc w:val="center"/>
        </w:trPr>
        <w:tc>
          <w:tcPr>
            <w:tcW w:w="1749" w:type="dxa"/>
            <w:vMerge/>
            <w:shd w:val="clear" w:color="auto" w:fill="auto"/>
            <w:vAlign w:val="center"/>
          </w:tcPr>
          <w:p w14:paraId="48E19366" w14:textId="77777777" w:rsidR="00C86A6B" w:rsidRPr="004E2B6D" w:rsidRDefault="00C86A6B" w:rsidP="00935D74">
            <w:pPr>
              <w:pStyle w:val="ListParagraph"/>
              <w:ind w:left="0"/>
              <w:jc w:val="center"/>
              <w:rPr>
                <w:bCs/>
                <w:sz w:val="20"/>
                <w:szCs w:val="20"/>
              </w:rPr>
            </w:pPr>
          </w:p>
        </w:tc>
        <w:tc>
          <w:tcPr>
            <w:tcW w:w="709" w:type="dxa"/>
            <w:shd w:val="clear" w:color="auto" w:fill="auto"/>
            <w:vAlign w:val="center"/>
          </w:tcPr>
          <w:p w14:paraId="10E08194" w14:textId="77777777" w:rsidR="00C86A6B" w:rsidRPr="004E2B6D" w:rsidRDefault="00C86A6B" w:rsidP="00935D74">
            <w:pPr>
              <w:pStyle w:val="ListParagraph"/>
              <w:ind w:left="0"/>
              <w:jc w:val="center"/>
              <w:rPr>
                <w:bCs/>
                <w:sz w:val="20"/>
                <w:szCs w:val="20"/>
              </w:rPr>
            </w:pPr>
            <w:r w:rsidRPr="004E2B6D">
              <w:rPr>
                <w:bCs/>
                <w:sz w:val="20"/>
                <w:szCs w:val="20"/>
              </w:rPr>
              <w:t>%</w:t>
            </w:r>
          </w:p>
        </w:tc>
        <w:tc>
          <w:tcPr>
            <w:tcW w:w="1243" w:type="dxa"/>
            <w:shd w:val="clear" w:color="auto" w:fill="auto"/>
            <w:vAlign w:val="center"/>
          </w:tcPr>
          <w:p w14:paraId="0FD7D639" w14:textId="77777777" w:rsidR="00C86A6B" w:rsidRPr="004E2B6D" w:rsidRDefault="00C86A6B" w:rsidP="00935D74">
            <w:pPr>
              <w:pStyle w:val="ListParagraph"/>
              <w:ind w:left="0"/>
              <w:jc w:val="center"/>
              <w:rPr>
                <w:bCs/>
                <w:sz w:val="20"/>
                <w:szCs w:val="20"/>
              </w:rPr>
            </w:pPr>
            <w:r w:rsidRPr="004E2B6D">
              <w:rPr>
                <w:bCs/>
                <w:sz w:val="20"/>
                <w:szCs w:val="20"/>
              </w:rPr>
              <w:t>10,5</w:t>
            </w:r>
          </w:p>
        </w:tc>
        <w:tc>
          <w:tcPr>
            <w:tcW w:w="1275" w:type="dxa"/>
            <w:shd w:val="clear" w:color="auto" w:fill="auto"/>
            <w:vAlign w:val="center"/>
          </w:tcPr>
          <w:p w14:paraId="6641F8CF" w14:textId="77777777" w:rsidR="00C86A6B" w:rsidRPr="004E2B6D" w:rsidRDefault="00C86A6B" w:rsidP="00935D74">
            <w:pPr>
              <w:pStyle w:val="ListParagraph"/>
              <w:ind w:left="0"/>
              <w:jc w:val="center"/>
              <w:rPr>
                <w:bCs/>
                <w:sz w:val="20"/>
                <w:szCs w:val="20"/>
              </w:rPr>
            </w:pPr>
            <w:r w:rsidRPr="004E2B6D">
              <w:rPr>
                <w:bCs/>
                <w:sz w:val="20"/>
                <w:szCs w:val="20"/>
              </w:rPr>
              <w:t>11,5</w:t>
            </w:r>
          </w:p>
        </w:tc>
        <w:tc>
          <w:tcPr>
            <w:tcW w:w="1134" w:type="dxa"/>
            <w:shd w:val="clear" w:color="auto" w:fill="auto"/>
            <w:vAlign w:val="center"/>
          </w:tcPr>
          <w:p w14:paraId="0BF30E92"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6" w:type="dxa"/>
            <w:vMerge/>
            <w:shd w:val="clear" w:color="auto" w:fill="auto"/>
            <w:vAlign w:val="center"/>
          </w:tcPr>
          <w:p w14:paraId="0682A3B3" w14:textId="46A4D664" w:rsidR="00C86A6B" w:rsidRPr="004E2B6D" w:rsidRDefault="00C86A6B" w:rsidP="00935D74">
            <w:pPr>
              <w:pStyle w:val="ListParagraph"/>
              <w:ind w:left="0"/>
              <w:jc w:val="center"/>
              <w:rPr>
                <w:bCs/>
                <w:sz w:val="20"/>
                <w:szCs w:val="20"/>
              </w:rPr>
            </w:pPr>
          </w:p>
        </w:tc>
      </w:tr>
      <w:tr w:rsidR="004E2B6D" w:rsidRPr="004E2B6D" w14:paraId="60F5B1E9" w14:textId="77777777" w:rsidTr="004019CD">
        <w:trPr>
          <w:trHeight w:val="170"/>
          <w:tblHeader/>
          <w:jc w:val="center"/>
        </w:trPr>
        <w:tc>
          <w:tcPr>
            <w:tcW w:w="1749" w:type="dxa"/>
            <w:vMerge w:val="restart"/>
            <w:shd w:val="clear" w:color="auto" w:fill="auto"/>
            <w:vAlign w:val="center"/>
          </w:tcPr>
          <w:p w14:paraId="03C43E78" w14:textId="77777777" w:rsidR="00C86A6B" w:rsidRPr="004E2B6D" w:rsidRDefault="00C86A6B" w:rsidP="00935D74">
            <w:pPr>
              <w:pStyle w:val="ListParagraph"/>
              <w:ind w:left="0"/>
              <w:jc w:val="center"/>
              <w:rPr>
                <w:bCs/>
                <w:sz w:val="20"/>
                <w:szCs w:val="20"/>
              </w:rPr>
            </w:pPr>
            <w:r w:rsidRPr="004E2B6D">
              <w:rPr>
                <w:bCs/>
                <w:sz w:val="20"/>
                <w:szCs w:val="20"/>
              </w:rPr>
              <w:t>SMP</w:t>
            </w:r>
          </w:p>
        </w:tc>
        <w:tc>
          <w:tcPr>
            <w:tcW w:w="709" w:type="dxa"/>
            <w:shd w:val="clear" w:color="auto" w:fill="auto"/>
            <w:vAlign w:val="center"/>
          </w:tcPr>
          <w:p w14:paraId="1A9D2DBB" w14:textId="77777777" w:rsidR="00C86A6B" w:rsidRPr="004E2B6D" w:rsidRDefault="00C86A6B" w:rsidP="00935D74">
            <w:pPr>
              <w:pStyle w:val="ListParagraph"/>
              <w:ind w:left="0"/>
              <w:jc w:val="center"/>
              <w:rPr>
                <w:bCs/>
                <w:sz w:val="20"/>
                <w:szCs w:val="20"/>
              </w:rPr>
            </w:pPr>
            <w:r w:rsidRPr="004E2B6D">
              <w:rPr>
                <w:bCs/>
                <w:sz w:val="20"/>
                <w:szCs w:val="20"/>
              </w:rPr>
              <w:t>n</w:t>
            </w:r>
          </w:p>
        </w:tc>
        <w:tc>
          <w:tcPr>
            <w:tcW w:w="1243" w:type="dxa"/>
            <w:shd w:val="clear" w:color="auto" w:fill="auto"/>
            <w:vAlign w:val="center"/>
          </w:tcPr>
          <w:p w14:paraId="1AF011E3"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5" w:type="dxa"/>
            <w:shd w:val="clear" w:color="auto" w:fill="auto"/>
            <w:vAlign w:val="center"/>
          </w:tcPr>
          <w:p w14:paraId="06EAF8BA" w14:textId="77777777" w:rsidR="00C86A6B" w:rsidRPr="004E2B6D" w:rsidRDefault="00C86A6B" w:rsidP="00935D74">
            <w:pPr>
              <w:pStyle w:val="ListParagraph"/>
              <w:ind w:left="0"/>
              <w:jc w:val="center"/>
              <w:rPr>
                <w:bCs/>
                <w:sz w:val="20"/>
                <w:szCs w:val="20"/>
              </w:rPr>
            </w:pPr>
            <w:r w:rsidRPr="004E2B6D">
              <w:rPr>
                <w:bCs/>
                <w:sz w:val="20"/>
                <w:szCs w:val="20"/>
              </w:rPr>
              <w:t>3</w:t>
            </w:r>
          </w:p>
        </w:tc>
        <w:tc>
          <w:tcPr>
            <w:tcW w:w="1134" w:type="dxa"/>
            <w:shd w:val="clear" w:color="auto" w:fill="auto"/>
            <w:vAlign w:val="center"/>
          </w:tcPr>
          <w:p w14:paraId="7F54A114"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6" w:type="dxa"/>
            <w:vMerge/>
            <w:shd w:val="clear" w:color="auto" w:fill="auto"/>
            <w:vAlign w:val="center"/>
          </w:tcPr>
          <w:p w14:paraId="6CB46E3B" w14:textId="46D8969F" w:rsidR="00C86A6B" w:rsidRPr="004E2B6D" w:rsidRDefault="00C86A6B" w:rsidP="00935D74">
            <w:pPr>
              <w:pStyle w:val="ListParagraph"/>
              <w:ind w:left="0"/>
              <w:jc w:val="center"/>
              <w:rPr>
                <w:bCs/>
                <w:sz w:val="20"/>
                <w:szCs w:val="20"/>
              </w:rPr>
            </w:pPr>
          </w:p>
        </w:tc>
      </w:tr>
      <w:tr w:rsidR="004E2B6D" w:rsidRPr="004E2B6D" w14:paraId="137F0B42" w14:textId="77777777" w:rsidTr="004019CD">
        <w:trPr>
          <w:trHeight w:val="170"/>
          <w:tblHeader/>
          <w:jc w:val="center"/>
        </w:trPr>
        <w:tc>
          <w:tcPr>
            <w:tcW w:w="1749" w:type="dxa"/>
            <w:vMerge/>
            <w:shd w:val="clear" w:color="auto" w:fill="auto"/>
            <w:vAlign w:val="center"/>
          </w:tcPr>
          <w:p w14:paraId="4CB727D0" w14:textId="77777777" w:rsidR="00C86A6B" w:rsidRPr="004E2B6D" w:rsidRDefault="00C86A6B" w:rsidP="00935D74">
            <w:pPr>
              <w:pStyle w:val="ListParagraph"/>
              <w:ind w:left="0"/>
              <w:jc w:val="center"/>
              <w:rPr>
                <w:bCs/>
                <w:sz w:val="20"/>
                <w:szCs w:val="20"/>
              </w:rPr>
            </w:pPr>
          </w:p>
        </w:tc>
        <w:tc>
          <w:tcPr>
            <w:tcW w:w="709" w:type="dxa"/>
            <w:shd w:val="clear" w:color="auto" w:fill="auto"/>
            <w:vAlign w:val="center"/>
          </w:tcPr>
          <w:p w14:paraId="297F2D2E" w14:textId="77777777" w:rsidR="00C86A6B" w:rsidRPr="004E2B6D" w:rsidRDefault="00C86A6B" w:rsidP="00935D74">
            <w:pPr>
              <w:pStyle w:val="ListParagraph"/>
              <w:ind w:left="0"/>
              <w:jc w:val="center"/>
              <w:rPr>
                <w:bCs/>
                <w:sz w:val="20"/>
                <w:szCs w:val="20"/>
              </w:rPr>
            </w:pPr>
            <w:r w:rsidRPr="004E2B6D">
              <w:rPr>
                <w:bCs/>
                <w:sz w:val="20"/>
                <w:szCs w:val="20"/>
              </w:rPr>
              <w:t>%</w:t>
            </w:r>
          </w:p>
        </w:tc>
        <w:tc>
          <w:tcPr>
            <w:tcW w:w="1243" w:type="dxa"/>
            <w:shd w:val="clear" w:color="auto" w:fill="auto"/>
            <w:vAlign w:val="center"/>
          </w:tcPr>
          <w:p w14:paraId="0EF516A7"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5" w:type="dxa"/>
            <w:shd w:val="clear" w:color="auto" w:fill="auto"/>
            <w:vAlign w:val="center"/>
          </w:tcPr>
          <w:p w14:paraId="6B72CF72" w14:textId="77777777" w:rsidR="00C86A6B" w:rsidRPr="004E2B6D" w:rsidRDefault="00C86A6B" w:rsidP="00935D74">
            <w:pPr>
              <w:pStyle w:val="ListParagraph"/>
              <w:ind w:left="0"/>
              <w:jc w:val="center"/>
              <w:rPr>
                <w:bCs/>
                <w:sz w:val="20"/>
                <w:szCs w:val="20"/>
              </w:rPr>
            </w:pPr>
            <w:r w:rsidRPr="004E2B6D">
              <w:rPr>
                <w:bCs/>
                <w:sz w:val="20"/>
                <w:szCs w:val="20"/>
              </w:rPr>
              <w:t>11,5</w:t>
            </w:r>
          </w:p>
        </w:tc>
        <w:tc>
          <w:tcPr>
            <w:tcW w:w="1134" w:type="dxa"/>
            <w:shd w:val="clear" w:color="auto" w:fill="auto"/>
            <w:vAlign w:val="center"/>
          </w:tcPr>
          <w:p w14:paraId="2E8D2CE5"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6" w:type="dxa"/>
            <w:vMerge/>
            <w:shd w:val="clear" w:color="auto" w:fill="auto"/>
            <w:vAlign w:val="center"/>
          </w:tcPr>
          <w:p w14:paraId="790016FE" w14:textId="557423CD" w:rsidR="00C86A6B" w:rsidRPr="004E2B6D" w:rsidRDefault="00C86A6B" w:rsidP="00935D74">
            <w:pPr>
              <w:pStyle w:val="ListParagraph"/>
              <w:ind w:left="0"/>
              <w:jc w:val="center"/>
              <w:rPr>
                <w:bCs/>
                <w:sz w:val="20"/>
                <w:szCs w:val="20"/>
              </w:rPr>
            </w:pPr>
          </w:p>
        </w:tc>
      </w:tr>
      <w:tr w:rsidR="004E2B6D" w:rsidRPr="004E2B6D" w14:paraId="5431F7B8" w14:textId="77777777" w:rsidTr="004019CD">
        <w:trPr>
          <w:trHeight w:val="170"/>
          <w:tblHeader/>
          <w:jc w:val="center"/>
        </w:trPr>
        <w:tc>
          <w:tcPr>
            <w:tcW w:w="1749" w:type="dxa"/>
            <w:vMerge w:val="restart"/>
            <w:shd w:val="clear" w:color="auto" w:fill="auto"/>
            <w:vAlign w:val="center"/>
          </w:tcPr>
          <w:p w14:paraId="0BDF958F" w14:textId="77777777" w:rsidR="00C86A6B" w:rsidRPr="004E2B6D" w:rsidRDefault="00C86A6B" w:rsidP="00935D74">
            <w:pPr>
              <w:pStyle w:val="ListParagraph"/>
              <w:ind w:left="0"/>
              <w:jc w:val="center"/>
              <w:rPr>
                <w:bCs/>
                <w:sz w:val="20"/>
                <w:szCs w:val="20"/>
              </w:rPr>
            </w:pPr>
            <w:r w:rsidRPr="004E2B6D">
              <w:rPr>
                <w:bCs/>
                <w:sz w:val="20"/>
                <w:szCs w:val="20"/>
              </w:rPr>
              <w:t>SMA</w:t>
            </w:r>
          </w:p>
        </w:tc>
        <w:tc>
          <w:tcPr>
            <w:tcW w:w="709" w:type="dxa"/>
            <w:shd w:val="clear" w:color="auto" w:fill="auto"/>
            <w:vAlign w:val="center"/>
          </w:tcPr>
          <w:p w14:paraId="1B79335E" w14:textId="77777777" w:rsidR="00C86A6B" w:rsidRPr="004E2B6D" w:rsidRDefault="00C86A6B" w:rsidP="00935D74">
            <w:pPr>
              <w:pStyle w:val="ListParagraph"/>
              <w:ind w:left="0"/>
              <w:jc w:val="center"/>
              <w:rPr>
                <w:bCs/>
                <w:sz w:val="20"/>
                <w:szCs w:val="20"/>
              </w:rPr>
            </w:pPr>
            <w:r w:rsidRPr="004E2B6D">
              <w:rPr>
                <w:bCs/>
                <w:sz w:val="20"/>
                <w:szCs w:val="20"/>
              </w:rPr>
              <w:t>n</w:t>
            </w:r>
          </w:p>
        </w:tc>
        <w:tc>
          <w:tcPr>
            <w:tcW w:w="1243" w:type="dxa"/>
            <w:shd w:val="clear" w:color="auto" w:fill="auto"/>
            <w:vAlign w:val="center"/>
          </w:tcPr>
          <w:p w14:paraId="13B45B44" w14:textId="77777777" w:rsidR="00C86A6B" w:rsidRPr="004E2B6D" w:rsidRDefault="00C86A6B" w:rsidP="00935D74">
            <w:pPr>
              <w:pStyle w:val="ListParagraph"/>
              <w:ind w:left="0"/>
              <w:jc w:val="center"/>
              <w:rPr>
                <w:bCs/>
                <w:sz w:val="20"/>
                <w:szCs w:val="20"/>
              </w:rPr>
            </w:pPr>
            <w:r w:rsidRPr="004E2B6D">
              <w:rPr>
                <w:bCs/>
                <w:sz w:val="20"/>
                <w:szCs w:val="20"/>
              </w:rPr>
              <w:t>16</w:t>
            </w:r>
          </w:p>
        </w:tc>
        <w:tc>
          <w:tcPr>
            <w:tcW w:w="1275" w:type="dxa"/>
            <w:shd w:val="clear" w:color="auto" w:fill="auto"/>
            <w:vAlign w:val="center"/>
          </w:tcPr>
          <w:p w14:paraId="091E0970" w14:textId="77777777" w:rsidR="00C86A6B" w:rsidRPr="004E2B6D" w:rsidRDefault="00C86A6B" w:rsidP="00935D74">
            <w:pPr>
              <w:pStyle w:val="ListParagraph"/>
              <w:ind w:left="0"/>
              <w:jc w:val="center"/>
              <w:rPr>
                <w:bCs/>
                <w:sz w:val="20"/>
                <w:szCs w:val="20"/>
              </w:rPr>
            </w:pPr>
            <w:r w:rsidRPr="004E2B6D">
              <w:rPr>
                <w:bCs/>
                <w:sz w:val="20"/>
                <w:szCs w:val="20"/>
              </w:rPr>
              <w:t>16</w:t>
            </w:r>
          </w:p>
        </w:tc>
        <w:tc>
          <w:tcPr>
            <w:tcW w:w="1134" w:type="dxa"/>
            <w:shd w:val="clear" w:color="auto" w:fill="auto"/>
            <w:vAlign w:val="center"/>
          </w:tcPr>
          <w:p w14:paraId="605CB6F9" w14:textId="77777777" w:rsidR="00C86A6B" w:rsidRPr="004E2B6D" w:rsidRDefault="00C86A6B" w:rsidP="00935D74">
            <w:pPr>
              <w:pStyle w:val="ListParagraph"/>
              <w:ind w:left="0"/>
              <w:jc w:val="center"/>
              <w:rPr>
                <w:bCs/>
                <w:sz w:val="20"/>
                <w:szCs w:val="20"/>
              </w:rPr>
            </w:pPr>
            <w:r w:rsidRPr="004E2B6D">
              <w:rPr>
                <w:bCs/>
                <w:sz w:val="20"/>
                <w:szCs w:val="20"/>
              </w:rPr>
              <w:t>3</w:t>
            </w:r>
          </w:p>
        </w:tc>
        <w:tc>
          <w:tcPr>
            <w:tcW w:w="1276" w:type="dxa"/>
            <w:vMerge/>
            <w:shd w:val="clear" w:color="auto" w:fill="auto"/>
            <w:vAlign w:val="center"/>
          </w:tcPr>
          <w:p w14:paraId="5FE44B84" w14:textId="1DA8F451" w:rsidR="00C86A6B" w:rsidRPr="004E2B6D" w:rsidRDefault="00C86A6B" w:rsidP="00935D74">
            <w:pPr>
              <w:pStyle w:val="ListParagraph"/>
              <w:ind w:left="0"/>
              <w:jc w:val="center"/>
              <w:rPr>
                <w:bCs/>
                <w:sz w:val="20"/>
                <w:szCs w:val="20"/>
              </w:rPr>
            </w:pPr>
          </w:p>
        </w:tc>
      </w:tr>
      <w:tr w:rsidR="004E2B6D" w:rsidRPr="004E2B6D" w14:paraId="47A2F587" w14:textId="77777777" w:rsidTr="004019CD">
        <w:trPr>
          <w:trHeight w:val="170"/>
          <w:tblHeader/>
          <w:jc w:val="center"/>
        </w:trPr>
        <w:tc>
          <w:tcPr>
            <w:tcW w:w="1749" w:type="dxa"/>
            <w:vMerge/>
            <w:shd w:val="clear" w:color="auto" w:fill="auto"/>
            <w:vAlign w:val="center"/>
          </w:tcPr>
          <w:p w14:paraId="1BF935D9" w14:textId="77777777" w:rsidR="00C86A6B" w:rsidRPr="004E2B6D" w:rsidRDefault="00C86A6B" w:rsidP="00935D74">
            <w:pPr>
              <w:pStyle w:val="ListParagraph"/>
              <w:ind w:left="0"/>
              <w:jc w:val="center"/>
              <w:rPr>
                <w:bCs/>
                <w:sz w:val="20"/>
                <w:szCs w:val="20"/>
              </w:rPr>
            </w:pPr>
          </w:p>
        </w:tc>
        <w:tc>
          <w:tcPr>
            <w:tcW w:w="709" w:type="dxa"/>
            <w:shd w:val="clear" w:color="auto" w:fill="auto"/>
            <w:vAlign w:val="center"/>
          </w:tcPr>
          <w:p w14:paraId="42937DCE" w14:textId="77777777" w:rsidR="00C86A6B" w:rsidRPr="004E2B6D" w:rsidRDefault="00C86A6B" w:rsidP="00935D74">
            <w:pPr>
              <w:pStyle w:val="ListParagraph"/>
              <w:ind w:left="0"/>
              <w:jc w:val="center"/>
              <w:rPr>
                <w:bCs/>
                <w:sz w:val="20"/>
                <w:szCs w:val="20"/>
              </w:rPr>
            </w:pPr>
            <w:r w:rsidRPr="004E2B6D">
              <w:rPr>
                <w:bCs/>
                <w:sz w:val="20"/>
                <w:szCs w:val="20"/>
              </w:rPr>
              <w:t>%</w:t>
            </w:r>
          </w:p>
        </w:tc>
        <w:tc>
          <w:tcPr>
            <w:tcW w:w="1243" w:type="dxa"/>
            <w:shd w:val="clear" w:color="auto" w:fill="auto"/>
            <w:vAlign w:val="center"/>
          </w:tcPr>
          <w:p w14:paraId="2F4E159D" w14:textId="77777777" w:rsidR="00C86A6B" w:rsidRPr="004E2B6D" w:rsidRDefault="00C86A6B" w:rsidP="00935D74">
            <w:pPr>
              <w:pStyle w:val="ListParagraph"/>
              <w:ind w:left="0"/>
              <w:jc w:val="center"/>
              <w:rPr>
                <w:bCs/>
                <w:sz w:val="20"/>
                <w:szCs w:val="20"/>
              </w:rPr>
            </w:pPr>
            <w:r w:rsidRPr="004E2B6D">
              <w:rPr>
                <w:bCs/>
                <w:sz w:val="20"/>
                <w:szCs w:val="20"/>
              </w:rPr>
              <w:t>84,2</w:t>
            </w:r>
          </w:p>
        </w:tc>
        <w:tc>
          <w:tcPr>
            <w:tcW w:w="1275" w:type="dxa"/>
            <w:shd w:val="clear" w:color="auto" w:fill="auto"/>
            <w:vAlign w:val="center"/>
          </w:tcPr>
          <w:p w14:paraId="619FF057" w14:textId="77777777" w:rsidR="00C86A6B" w:rsidRPr="004E2B6D" w:rsidRDefault="00C86A6B" w:rsidP="00935D74">
            <w:pPr>
              <w:pStyle w:val="ListParagraph"/>
              <w:ind w:left="0"/>
              <w:jc w:val="center"/>
              <w:rPr>
                <w:bCs/>
                <w:sz w:val="20"/>
                <w:szCs w:val="20"/>
              </w:rPr>
            </w:pPr>
            <w:r w:rsidRPr="004E2B6D">
              <w:rPr>
                <w:bCs/>
                <w:sz w:val="20"/>
                <w:szCs w:val="20"/>
              </w:rPr>
              <w:t>61,5</w:t>
            </w:r>
          </w:p>
        </w:tc>
        <w:tc>
          <w:tcPr>
            <w:tcW w:w="1134" w:type="dxa"/>
            <w:shd w:val="clear" w:color="auto" w:fill="auto"/>
            <w:vAlign w:val="center"/>
          </w:tcPr>
          <w:p w14:paraId="4FD41E4F" w14:textId="77777777" w:rsidR="00C86A6B" w:rsidRPr="004E2B6D" w:rsidRDefault="00C86A6B" w:rsidP="00935D74">
            <w:pPr>
              <w:pStyle w:val="ListParagraph"/>
              <w:ind w:left="0"/>
              <w:jc w:val="center"/>
              <w:rPr>
                <w:bCs/>
                <w:sz w:val="20"/>
                <w:szCs w:val="20"/>
              </w:rPr>
            </w:pPr>
            <w:r w:rsidRPr="004E2B6D">
              <w:rPr>
                <w:bCs/>
                <w:sz w:val="20"/>
                <w:szCs w:val="20"/>
              </w:rPr>
              <w:t>100</w:t>
            </w:r>
          </w:p>
        </w:tc>
        <w:tc>
          <w:tcPr>
            <w:tcW w:w="1276" w:type="dxa"/>
            <w:vMerge/>
            <w:shd w:val="clear" w:color="auto" w:fill="auto"/>
            <w:vAlign w:val="center"/>
          </w:tcPr>
          <w:p w14:paraId="179B9B56" w14:textId="28B23109" w:rsidR="00C86A6B" w:rsidRPr="004E2B6D" w:rsidRDefault="00C86A6B" w:rsidP="00935D74">
            <w:pPr>
              <w:pStyle w:val="ListParagraph"/>
              <w:ind w:left="0"/>
              <w:jc w:val="center"/>
              <w:rPr>
                <w:bCs/>
                <w:sz w:val="20"/>
                <w:szCs w:val="20"/>
              </w:rPr>
            </w:pPr>
          </w:p>
        </w:tc>
      </w:tr>
      <w:tr w:rsidR="004E2B6D" w:rsidRPr="004E2B6D" w14:paraId="311F3425" w14:textId="77777777" w:rsidTr="004019CD">
        <w:trPr>
          <w:trHeight w:val="170"/>
          <w:tblHeader/>
          <w:jc w:val="center"/>
        </w:trPr>
        <w:tc>
          <w:tcPr>
            <w:tcW w:w="1749" w:type="dxa"/>
            <w:vMerge w:val="restart"/>
            <w:shd w:val="clear" w:color="auto" w:fill="auto"/>
            <w:vAlign w:val="center"/>
          </w:tcPr>
          <w:p w14:paraId="51B21A3A" w14:textId="77777777" w:rsidR="00C86A6B" w:rsidRPr="004E2B6D" w:rsidRDefault="00C86A6B" w:rsidP="00935D74">
            <w:pPr>
              <w:pStyle w:val="ListParagraph"/>
              <w:ind w:left="0"/>
              <w:jc w:val="center"/>
              <w:rPr>
                <w:bCs/>
                <w:sz w:val="20"/>
                <w:szCs w:val="20"/>
              </w:rPr>
            </w:pPr>
            <w:r w:rsidRPr="004E2B6D">
              <w:rPr>
                <w:bCs/>
                <w:sz w:val="20"/>
                <w:szCs w:val="20"/>
              </w:rPr>
              <w:t>Sarjana</w:t>
            </w:r>
          </w:p>
        </w:tc>
        <w:tc>
          <w:tcPr>
            <w:tcW w:w="709" w:type="dxa"/>
            <w:shd w:val="clear" w:color="auto" w:fill="auto"/>
            <w:vAlign w:val="center"/>
          </w:tcPr>
          <w:p w14:paraId="38A50946" w14:textId="77777777" w:rsidR="00C86A6B" w:rsidRPr="004E2B6D" w:rsidRDefault="00C86A6B" w:rsidP="00935D74">
            <w:pPr>
              <w:pStyle w:val="ListParagraph"/>
              <w:ind w:left="0"/>
              <w:jc w:val="center"/>
              <w:rPr>
                <w:bCs/>
                <w:sz w:val="20"/>
                <w:szCs w:val="20"/>
              </w:rPr>
            </w:pPr>
            <w:r w:rsidRPr="004E2B6D">
              <w:rPr>
                <w:bCs/>
                <w:sz w:val="20"/>
                <w:szCs w:val="20"/>
              </w:rPr>
              <w:t>n</w:t>
            </w:r>
          </w:p>
        </w:tc>
        <w:tc>
          <w:tcPr>
            <w:tcW w:w="1243" w:type="dxa"/>
            <w:shd w:val="clear" w:color="auto" w:fill="auto"/>
            <w:vAlign w:val="center"/>
          </w:tcPr>
          <w:p w14:paraId="2E6192FB" w14:textId="77777777" w:rsidR="00C86A6B" w:rsidRPr="004E2B6D" w:rsidRDefault="00C86A6B" w:rsidP="00935D74">
            <w:pPr>
              <w:pStyle w:val="ListParagraph"/>
              <w:ind w:left="0"/>
              <w:jc w:val="center"/>
              <w:rPr>
                <w:bCs/>
                <w:sz w:val="20"/>
                <w:szCs w:val="20"/>
              </w:rPr>
            </w:pPr>
            <w:r w:rsidRPr="004E2B6D">
              <w:rPr>
                <w:bCs/>
                <w:sz w:val="20"/>
                <w:szCs w:val="20"/>
              </w:rPr>
              <w:t>1</w:t>
            </w:r>
          </w:p>
        </w:tc>
        <w:tc>
          <w:tcPr>
            <w:tcW w:w="1275" w:type="dxa"/>
            <w:shd w:val="clear" w:color="auto" w:fill="auto"/>
            <w:vAlign w:val="center"/>
          </w:tcPr>
          <w:p w14:paraId="705064C6" w14:textId="77777777" w:rsidR="00C86A6B" w:rsidRPr="004E2B6D" w:rsidRDefault="00C86A6B" w:rsidP="00935D74">
            <w:pPr>
              <w:pStyle w:val="ListParagraph"/>
              <w:ind w:left="0"/>
              <w:jc w:val="center"/>
              <w:rPr>
                <w:bCs/>
                <w:sz w:val="20"/>
                <w:szCs w:val="20"/>
              </w:rPr>
            </w:pPr>
            <w:r w:rsidRPr="004E2B6D">
              <w:rPr>
                <w:bCs/>
                <w:sz w:val="20"/>
                <w:szCs w:val="20"/>
              </w:rPr>
              <w:t>4</w:t>
            </w:r>
          </w:p>
        </w:tc>
        <w:tc>
          <w:tcPr>
            <w:tcW w:w="1134" w:type="dxa"/>
            <w:shd w:val="clear" w:color="auto" w:fill="auto"/>
            <w:vAlign w:val="center"/>
          </w:tcPr>
          <w:p w14:paraId="5736E59B"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6" w:type="dxa"/>
            <w:vMerge/>
            <w:shd w:val="clear" w:color="auto" w:fill="auto"/>
            <w:vAlign w:val="center"/>
          </w:tcPr>
          <w:p w14:paraId="701357E1" w14:textId="31DCA663" w:rsidR="00C86A6B" w:rsidRPr="004E2B6D" w:rsidRDefault="00C86A6B" w:rsidP="00935D74">
            <w:pPr>
              <w:pStyle w:val="ListParagraph"/>
              <w:ind w:left="0"/>
              <w:jc w:val="center"/>
              <w:rPr>
                <w:bCs/>
                <w:sz w:val="20"/>
                <w:szCs w:val="20"/>
              </w:rPr>
            </w:pPr>
          </w:p>
        </w:tc>
      </w:tr>
      <w:tr w:rsidR="004E2B6D" w:rsidRPr="004E2B6D" w14:paraId="1B6FBAC8" w14:textId="77777777" w:rsidTr="004019CD">
        <w:trPr>
          <w:trHeight w:val="170"/>
          <w:tblHeader/>
          <w:jc w:val="center"/>
        </w:trPr>
        <w:tc>
          <w:tcPr>
            <w:tcW w:w="1749" w:type="dxa"/>
            <w:vMerge/>
            <w:shd w:val="clear" w:color="auto" w:fill="auto"/>
            <w:vAlign w:val="center"/>
          </w:tcPr>
          <w:p w14:paraId="15204E61" w14:textId="77777777" w:rsidR="00C86A6B" w:rsidRPr="004E2B6D" w:rsidRDefault="00C86A6B" w:rsidP="00935D74">
            <w:pPr>
              <w:pStyle w:val="ListParagraph"/>
              <w:ind w:left="0"/>
              <w:jc w:val="center"/>
              <w:rPr>
                <w:bCs/>
                <w:sz w:val="20"/>
                <w:szCs w:val="20"/>
              </w:rPr>
            </w:pPr>
          </w:p>
        </w:tc>
        <w:tc>
          <w:tcPr>
            <w:tcW w:w="709" w:type="dxa"/>
            <w:shd w:val="clear" w:color="auto" w:fill="auto"/>
            <w:vAlign w:val="center"/>
          </w:tcPr>
          <w:p w14:paraId="136B9809" w14:textId="77777777" w:rsidR="00C86A6B" w:rsidRPr="004E2B6D" w:rsidRDefault="00C86A6B" w:rsidP="00935D74">
            <w:pPr>
              <w:pStyle w:val="ListParagraph"/>
              <w:ind w:left="0"/>
              <w:jc w:val="center"/>
              <w:rPr>
                <w:bCs/>
                <w:sz w:val="20"/>
                <w:szCs w:val="20"/>
              </w:rPr>
            </w:pPr>
            <w:r w:rsidRPr="004E2B6D">
              <w:rPr>
                <w:bCs/>
                <w:sz w:val="20"/>
                <w:szCs w:val="20"/>
              </w:rPr>
              <w:t>%</w:t>
            </w:r>
          </w:p>
        </w:tc>
        <w:tc>
          <w:tcPr>
            <w:tcW w:w="1243" w:type="dxa"/>
            <w:shd w:val="clear" w:color="auto" w:fill="auto"/>
            <w:vAlign w:val="center"/>
          </w:tcPr>
          <w:p w14:paraId="21B45EF9" w14:textId="77777777" w:rsidR="00C86A6B" w:rsidRPr="004E2B6D" w:rsidRDefault="00C86A6B" w:rsidP="00935D74">
            <w:pPr>
              <w:pStyle w:val="ListParagraph"/>
              <w:ind w:left="0"/>
              <w:jc w:val="center"/>
              <w:rPr>
                <w:bCs/>
                <w:sz w:val="20"/>
                <w:szCs w:val="20"/>
              </w:rPr>
            </w:pPr>
            <w:r w:rsidRPr="004E2B6D">
              <w:rPr>
                <w:bCs/>
                <w:sz w:val="20"/>
                <w:szCs w:val="20"/>
              </w:rPr>
              <w:t>5,3</w:t>
            </w:r>
          </w:p>
        </w:tc>
        <w:tc>
          <w:tcPr>
            <w:tcW w:w="1275" w:type="dxa"/>
            <w:shd w:val="clear" w:color="auto" w:fill="auto"/>
            <w:vAlign w:val="center"/>
          </w:tcPr>
          <w:p w14:paraId="1FAC37CC" w14:textId="77777777" w:rsidR="00C86A6B" w:rsidRPr="004E2B6D" w:rsidRDefault="00C86A6B" w:rsidP="00935D74">
            <w:pPr>
              <w:pStyle w:val="ListParagraph"/>
              <w:ind w:left="0"/>
              <w:jc w:val="center"/>
              <w:rPr>
                <w:bCs/>
                <w:sz w:val="20"/>
                <w:szCs w:val="20"/>
              </w:rPr>
            </w:pPr>
            <w:r w:rsidRPr="004E2B6D">
              <w:rPr>
                <w:bCs/>
                <w:sz w:val="20"/>
                <w:szCs w:val="20"/>
              </w:rPr>
              <w:t>15,4</w:t>
            </w:r>
          </w:p>
        </w:tc>
        <w:tc>
          <w:tcPr>
            <w:tcW w:w="1134" w:type="dxa"/>
            <w:shd w:val="clear" w:color="auto" w:fill="auto"/>
            <w:vAlign w:val="center"/>
          </w:tcPr>
          <w:p w14:paraId="2CE54F92"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6" w:type="dxa"/>
            <w:vMerge/>
            <w:shd w:val="clear" w:color="auto" w:fill="auto"/>
            <w:vAlign w:val="center"/>
          </w:tcPr>
          <w:p w14:paraId="742A724C" w14:textId="55B3DBF4" w:rsidR="00C86A6B" w:rsidRPr="004E2B6D" w:rsidRDefault="00C86A6B" w:rsidP="00935D74">
            <w:pPr>
              <w:pStyle w:val="ListParagraph"/>
              <w:ind w:left="0"/>
              <w:jc w:val="center"/>
              <w:rPr>
                <w:bCs/>
                <w:sz w:val="20"/>
                <w:szCs w:val="20"/>
              </w:rPr>
            </w:pPr>
          </w:p>
        </w:tc>
      </w:tr>
      <w:tr w:rsidR="004E2B6D" w:rsidRPr="004E2B6D" w14:paraId="1FE584D5" w14:textId="77777777" w:rsidTr="004019CD">
        <w:trPr>
          <w:trHeight w:val="170"/>
          <w:tblHeader/>
          <w:jc w:val="center"/>
        </w:trPr>
        <w:tc>
          <w:tcPr>
            <w:tcW w:w="1749" w:type="dxa"/>
            <w:shd w:val="clear" w:color="auto" w:fill="auto"/>
            <w:vAlign w:val="center"/>
          </w:tcPr>
          <w:p w14:paraId="78B915AA" w14:textId="77777777" w:rsidR="00042A6A" w:rsidRPr="004E2B6D" w:rsidRDefault="00042A6A" w:rsidP="00935D74">
            <w:pPr>
              <w:pStyle w:val="ListParagraph"/>
              <w:ind w:left="0"/>
              <w:jc w:val="center"/>
              <w:rPr>
                <w:sz w:val="20"/>
                <w:szCs w:val="20"/>
              </w:rPr>
            </w:pPr>
            <w:r w:rsidRPr="004E2B6D">
              <w:rPr>
                <w:sz w:val="20"/>
                <w:szCs w:val="20"/>
              </w:rPr>
              <w:t>Pekerjaan</w:t>
            </w:r>
          </w:p>
        </w:tc>
        <w:tc>
          <w:tcPr>
            <w:tcW w:w="709" w:type="dxa"/>
            <w:shd w:val="clear" w:color="auto" w:fill="auto"/>
            <w:vAlign w:val="center"/>
          </w:tcPr>
          <w:p w14:paraId="6F811650" w14:textId="77777777" w:rsidR="00042A6A" w:rsidRPr="004E2B6D" w:rsidRDefault="00042A6A" w:rsidP="00935D74">
            <w:pPr>
              <w:pStyle w:val="ListParagraph"/>
              <w:ind w:left="0"/>
              <w:jc w:val="center"/>
              <w:rPr>
                <w:sz w:val="20"/>
                <w:szCs w:val="20"/>
              </w:rPr>
            </w:pPr>
          </w:p>
        </w:tc>
        <w:tc>
          <w:tcPr>
            <w:tcW w:w="1243" w:type="dxa"/>
            <w:shd w:val="clear" w:color="auto" w:fill="auto"/>
            <w:vAlign w:val="center"/>
          </w:tcPr>
          <w:p w14:paraId="4641E922" w14:textId="77777777" w:rsidR="00042A6A" w:rsidRPr="004E2B6D" w:rsidRDefault="00042A6A" w:rsidP="00935D74">
            <w:pPr>
              <w:pStyle w:val="ListParagraph"/>
              <w:ind w:left="0"/>
              <w:jc w:val="center"/>
              <w:rPr>
                <w:sz w:val="20"/>
                <w:szCs w:val="20"/>
              </w:rPr>
            </w:pPr>
          </w:p>
        </w:tc>
        <w:tc>
          <w:tcPr>
            <w:tcW w:w="1275" w:type="dxa"/>
            <w:shd w:val="clear" w:color="auto" w:fill="auto"/>
            <w:vAlign w:val="center"/>
          </w:tcPr>
          <w:p w14:paraId="699990BF" w14:textId="77777777" w:rsidR="00042A6A" w:rsidRPr="004E2B6D" w:rsidRDefault="00042A6A" w:rsidP="00935D74">
            <w:pPr>
              <w:pStyle w:val="ListParagraph"/>
              <w:ind w:left="0"/>
              <w:jc w:val="center"/>
              <w:rPr>
                <w:sz w:val="20"/>
                <w:szCs w:val="20"/>
              </w:rPr>
            </w:pPr>
          </w:p>
        </w:tc>
        <w:tc>
          <w:tcPr>
            <w:tcW w:w="1134" w:type="dxa"/>
            <w:shd w:val="clear" w:color="auto" w:fill="auto"/>
            <w:vAlign w:val="center"/>
          </w:tcPr>
          <w:p w14:paraId="4352CF98" w14:textId="77777777" w:rsidR="00042A6A" w:rsidRPr="004E2B6D" w:rsidRDefault="00042A6A" w:rsidP="00935D74">
            <w:pPr>
              <w:pStyle w:val="ListParagraph"/>
              <w:ind w:left="0"/>
              <w:jc w:val="center"/>
              <w:rPr>
                <w:sz w:val="20"/>
                <w:szCs w:val="20"/>
              </w:rPr>
            </w:pPr>
          </w:p>
        </w:tc>
        <w:tc>
          <w:tcPr>
            <w:tcW w:w="1276" w:type="dxa"/>
            <w:shd w:val="clear" w:color="auto" w:fill="auto"/>
            <w:vAlign w:val="center"/>
          </w:tcPr>
          <w:p w14:paraId="285D5729" w14:textId="785890D4" w:rsidR="00042A6A" w:rsidRPr="004E2B6D" w:rsidRDefault="00042A6A" w:rsidP="00935D74">
            <w:pPr>
              <w:pStyle w:val="ListParagraph"/>
              <w:ind w:left="0"/>
              <w:jc w:val="center"/>
              <w:rPr>
                <w:sz w:val="20"/>
                <w:szCs w:val="20"/>
              </w:rPr>
            </w:pPr>
          </w:p>
        </w:tc>
      </w:tr>
      <w:tr w:rsidR="004E2B6D" w:rsidRPr="004E2B6D" w14:paraId="7E215847" w14:textId="77777777" w:rsidTr="004019CD">
        <w:trPr>
          <w:trHeight w:val="170"/>
          <w:tblHeader/>
          <w:jc w:val="center"/>
        </w:trPr>
        <w:tc>
          <w:tcPr>
            <w:tcW w:w="1749" w:type="dxa"/>
            <w:vMerge w:val="restart"/>
            <w:shd w:val="clear" w:color="auto" w:fill="auto"/>
            <w:vAlign w:val="center"/>
          </w:tcPr>
          <w:p w14:paraId="4325970D" w14:textId="77777777" w:rsidR="00C86A6B" w:rsidRPr="004E2B6D" w:rsidRDefault="00C86A6B" w:rsidP="00935D74">
            <w:pPr>
              <w:pStyle w:val="ListParagraph"/>
              <w:ind w:left="0"/>
              <w:jc w:val="center"/>
              <w:rPr>
                <w:bCs/>
                <w:sz w:val="20"/>
                <w:szCs w:val="20"/>
              </w:rPr>
            </w:pPr>
            <w:r w:rsidRPr="004E2B6D">
              <w:rPr>
                <w:bCs/>
                <w:sz w:val="20"/>
                <w:szCs w:val="20"/>
              </w:rPr>
              <w:t>Tidak bekerja</w:t>
            </w:r>
          </w:p>
        </w:tc>
        <w:tc>
          <w:tcPr>
            <w:tcW w:w="709" w:type="dxa"/>
            <w:shd w:val="clear" w:color="auto" w:fill="auto"/>
            <w:vAlign w:val="center"/>
          </w:tcPr>
          <w:p w14:paraId="1420A5FE" w14:textId="77777777" w:rsidR="00C86A6B" w:rsidRPr="004E2B6D" w:rsidRDefault="00C86A6B" w:rsidP="00935D74">
            <w:pPr>
              <w:pStyle w:val="ListParagraph"/>
              <w:ind w:left="0"/>
              <w:jc w:val="center"/>
              <w:rPr>
                <w:bCs/>
                <w:sz w:val="20"/>
                <w:szCs w:val="20"/>
              </w:rPr>
            </w:pPr>
            <w:r w:rsidRPr="004E2B6D">
              <w:rPr>
                <w:bCs/>
                <w:sz w:val="20"/>
                <w:szCs w:val="20"/>
              </w:rPr>
              <w:t>n</w:t>
            </w:r>
          </w:p>
        </w:tc>
        <w:tc>
          <w:tcPr>
            <w:tcW w:w="1243" w:type="dxa"/>
            <w:shd w:val="clear" w:color="auto" w:fill="auto"/>
            <w:vAlign w:val="center"/>
          </w:tcPr>
          <w:p w14:paraId="438CB3B3" w14:textId="77777777" w:rsidR="00C86A6B" w:rsidRPr="004E2B6D" w:rsidRDefault="00C86A6B" w:rsidP="00935D74">
            <w:pPr>
              <w:pStyle w:val="ListParagraph"/>
              <w:ind w:left="0"/>
              <w:jc w:val="center"/>
              <w:rPr>
                <w:bCs/>
                <w:sz w:val="20"/>
                <w:szCs w:val="20"/>
              </w:rPr>
            </w:pPr>
            <w:r w:rsidRPr="004E2B6D">
              <w:rPr>
                <w:bCs/>
                <w:sz w:val="20"/>
                <w:szCs w:val="20"/>
              </w:rPr>
              <w:t>8</w:t>
            </w:r>
          </w:p>
        </w:tc>
        <w:tc>
          <w:tcPr>
            <w:tcW w:w="1275" w:type="dxa"/>
            <w:shd w:val="clear" w:color="auto" w:fill="auto"/>
            <w:vAlign w:val="center"/>
          </w:tcPr>
          <w:p w14:paraId="07D6BD3C" w14:textId="77777777" w:rsidR="00C86A6B" w:rsidRPr="004E2B6D" w:rsidRDefault="00C86A6B" w:rsidP="00935D74">
            <w:pPr>
              <w:pStyle w:val="ListParagraph"/>
              <w:ind w:left="0"/>
              <w:jc w:val="center"/>
              <w:rPr>
                <w:bCs/>
                <w:sz w:val="20"/>
                <w:szCs w:val="20"/>
              </w:rPr>
            </w:pPr>
            <w:r w:rsidRPr="004E2B6D">
              <w:rPr>
                <w:bCs/>
                <w:sz w:val="20"/>
                <w:szCs w:val="20"/>
              </w:rPr>
              <w:t>10</w:t>
            </w:r>
          </w:p>
        </w:tc>
        <w:tc>
          <w:tcPr>
            <w:tcW w:w="1134" w:type="dxa"/>
            <w:shd w:val="clear" w:color="auto" w:fill="auto"/>
            <w:vAlign w:val="center"/>
          </w:tcPr>
          <w:p w14:paraId="54266D27" w14:textId="77777777" w:rsidR="00C86A6B" w:rsidRPr="004E2B6D" w:rsidRDefault="00C86A6B" w:rsidP="00935D74">
            <w:pPr>
              <w:pStyle w:val="ListParagraph"/>
              <w:ind w:left="0"/>
              <w:jc w:val="center"/>
              <w:rPr>
                <w:bCs/>
                <w:sz w:val="20"/>
                <w:szCs w:val="20"/>
              </w:rPr>
            </w:pPr>
            <w:r w:rsidRPr="004E2B6D">
              <w:rPr>
                <w:bCs/>
                <w:sz w:val="20"/>
                <w:szCs w:val="20"/>
              </w:rPr>
              <w:t>1</w:t>
            </w:r>
          </w:p>
        </w:tc>
        <w:tc>
          <w:tcPr>
            <w:tcW w:w="1276" w:type="dxa"/>
            <w:vMerge w:val="restart"/>
            <w:shd w:val="clear" w:color="auto" w:fill="auto"/>
            <w:vAlign w:val="center"/>
          </w:tcPr>
          <w:p w14:paraId="61366082" w14:textId="685AAB98" w:rsidR="00C86A6B" w:rsidRPr="004E2B6D" w:rsidRDefault="00C86A6B" w:rsidP="00935D74">
            <w:pPr>
              <w:pStyle w:val="ListParagraph"/>
              <w:ind w:left="0"/>
              <w:jc w:val="center"/>
              <w:rPr>
                <w:bCs/>
                <w:sz w:val="20"/>
                <w:szCs w:val="20"/>
              </w:rPr>
            </w:pPr>
            <w:r w:rsidRPr="004E2B6D">
              <w:rPr>
                <w:bCs/>
                <w:sz w:val="20"/>
                <w:szCs w:val="20"/>
              </w:rPr>
              <w:t>0,945</w:t>
            </w:r>
          </w:p>
        </w:tc>
      </w:tr>
      <w:tr w:rsidR="004E2B6D" w:rsidRPr="004E2B6D" w14:paraId="025140AA" w14:textId="77777777" w:rsidTr="004019CD">
        <w:trPr>
          <w:trHeight w:val="170"/>
          <w:tblHeader/>
          <w:jc w:val="center"/>
        </w:trPr>
        <w:tc>
          <w:tcPr>
            <w:tcW w:w="1749" w:type="dxa"/>
            <w:vMerge/>
            <w:shd w:val="clear" w:color="auto" w:fill="auto"/>
            <w:vAlign w:val="center"/>
          </w:tcPr>
          <w:p w14:paraId="6044A210" w14:textId="77777777" w:rsidR="00C86A6B" w:rsidRPr="004E2B6D" w:rsidRDefault="00C86A6B" w:rsidP="00935D74">
            <w:pPr>
              <w:pStyle w:val="ListParagraph"/>
              <w:ind w:left="0"/>
              <w:jc w:val="center"/>
              <w:rPr>
                <w:bCs/>
                <w:sz w:val="20"/>
                <w:szCs w:val="20"/>
              </w:rPr>
            </w:pPr>
          </w:p>
        </w:tc>
        <w:tc>
          <w:tcPr>
            <w:tcW w:w="709" w:type="dxa"/>
            <w:shd w:val="clear" w:color="auto" w:fill="auto"/>
            <w:vAlign w:val="center"/>
          </w:tcPr>
          <w:p w14:paraId="440A2CD5" w14:textId="77777777" w:rsidR="00C86A6B" w:rsidRPr="004E2B6D" w:rsidRDefault="00C86A6B" w:rsidP="00935D74">
            <w:pPr>
              <w:pStyle w:val="ListParagraph"/>
              <w:ind w:left="0"/>
              <w:jc w:val="center"/>
              <w:rPr>
                <w:bCs/>
                <w:sz w:val="20"/>
                <w:szCs w:val="20"/>
              </w:rPr>
            </w:pPr>
            <w:r w:rsidRPr="004E2B6D">
              <w:rPr>
                <w:bCs/>
                <w:sz w:val="20"/>
                <w:szCs w:val="20"/>
              </w:rPr>
              <w:t>%</w:t>
            </w:r>
          </w:p>
        </w:tc>
        <w:tc>
          <w:tcPr>
            <w:tcW w:w="1243" w:type="dxa"/>
            <w:shd w:val="clear" w:color="auto" w:fill="auto"/>
            <w:vAlign w:val="center"/>
          </w:tcPr>
          <w:p w14:paraId="5566CC3B" w14:textId="77777777" w:rsidR="00C86A6B" w:rsidRPr="004E2B6D" w:rsidRDefault="00C86A6B" w:rsidP="00935D74">
            <w:pPr>
              <w:pStyle w:val="ListParagraph"/>
              <w:ind w:left="0"/>
              <w:jc w:val="center"/>
              <w:rPr>
                <w:bCs/>
                <w:sz w:val="20"/>
                <w:szCs w:val="20"/>
              </w:rPr>
            </w:pPr>
            <w:r w:rsidRPr="004E2B6D">
              <w:rPr>
                <w:bCs/>
                <w:sz w:val="20"/>
                <w:szCs w:val="20"/>
              </w:rPr>
              <w:t>42,1</w:t>
            </w:r>
          </w:p>
        </w:tc>
        <w:tc>
          <w:tcPr>
            <w:tcW w:w="1275" w:type="dxa"/>
            <w:shd w:val="clear" w:color="auto" w:fill="auto"/>
            <w:vAlign w:val="center"/>
          </w:tcPr>
          <w:p w14:paraId="63B5E001" w14:textId="77777777" w:rsidR="00C86A6B" w:rsidRPr="004E2B6D" w:rsidRDefault="00C86A6B" w:rsidP="00935D74">
            <w:pPr>
              <w:pStyle w:val="ListParagraph"/>
              <w:ind w:left="0"/>
              <w:jc w:val="center"/>
              <w:rPr>
                <w:bCs/>
                <w:sz w:val="20"/>
                <w:szCs w:val="20"/>
              </w:rPr>
            </w:pPr>
            <w:r w:rsidRPr="004E2B6D">
              <w:rPr>
                <w:bCs/>
                <w:sz w:val="20"/>
                <w:szCs w:val="20"/>
              </w:rPr>
              <w:t>38,5</w:t>
            </w:r>
          </w:p>
        </w:tc>
        <w:tc>
          <w:tcPr>
            <w:tcW w:w="1134" w:type="dxa"/>
            <w:shd w:val="clear" w:color="auto" w:fill="auto"/>
            <w:vAlign w:val="center"/>
          </w:tcPr>
          <w:p w14:paraId="535F67C5" w14:textId="77777777" w:rsidR="00C86A6B" w:rsidRPr="004E2B6D" w:rsidRDefault="00C86A6B" w:rsidP="00935D74">
            <w:pPr>
              <w:pStyle w:val="ListParagraph"/>
              <w:ind w:left="0"/>
              <w:jc w:val="center"/>
              <w:rPr>
                <w:bCs/>
                <w:sz w:val="20"/>
                <w:szCs w:val="20"/>
              </w:rPr>
            </w:pPr>
            <w:r w:rsidRPr="004E2B6D">
              <w:rPr>
                <w:bCs/>
                <w:sz w:val="20"/>
                <w:szCs w:val="20"/>
              </w:rPr>
              <w:t>33,3</w:t>
            </w:r>
          </w:p>
        </w:tc>
        <w:tc>
          <w:tcPr>
            <w:tcW w:w="1276" w:type="dxa"/>
            <w:vMerge/>
            <w:shd w:val="clear" w:color="auto" w:fill="auto"/>
            <w:vAlign w:val="center"/>
          </w:tcPr>
          <w:p w14:paraId="0E1CCF81" w14:textId="6A397EEB" w:rsidR="00C86A6B" w:rsidRPr="004E2B6D" w:rsidRDefault="00C86A6B" w:rsidP="00935D74">
            <w:pPr>
              <w:pStyle w:val="ListParagraph"/>
              <w:ind w:left="0"/>
              <w:jc w:val="center"/>
              <w:rPr>
                <w:bCs/>
                <w:sz w:val="20"/>
                <w:szCs w:val="20"/>
              </w:rPr>
            </w:pPr>
          </w:p>
        </w:tc>
      </w:tr>
      <w:tr w:rsidR="004E2B6D" w:rsidRPr="004E2B6D" w14:paraId="119CC3DE" w14:textId="77777777" w:rsidTr="004019CD">
        <w:trPr>
          <w:trHeight w:val="170"/>
          <w:tblHeader/>
          <w:jc w:val="center"/>
        </w:trPr>
        <w:tc>
          <w:tcPr>
            <w:tcW w:w="1749" w:type="dxa"/>
            <w:vMerge w:val="restart"/>
            <w:shd w:val="clear" w:color="auto" w:fill="auto"/>
            <w:vAlign w:val="center"/>
          </w:tcPr>
          <w:p w14:paraId="022A6119" w14:textId="77777777" w:rsidR="00C86A6B" w:rsidRPr="004E2B6D" w:rsidRDefault="00C86A6B" w:rsidP="00935D74">
            <w:pPr>
              <w:pStyle w:val="ListParagraph"/>
              <w:ind w:left="0"/>
              <w:jc w:val="center"/>
              <w:rPr>
                <w:bCs/>
                <w:sz w:val="20"/>
                <w:szCs w:val="20"/>
              </w:rPr>
            </w:pPr>
            <w:r w:rsidRPr="004E2B6D">
              <w:rPr>
                <w:bCs/>
                <w:sz w:val="20"/>
                <w:szCs w:val="20"/>
              </w:rPr>
              <w:t>Bekerja</w:t>
            </w:r>
          </w:p>
        </w:tc>
        <w:tc>
          <w:tcPr>
            <w:tcW w:w="709" w:type="dxa"/>
            <w:shd w:val="clear" w:color="auto" w:fill="auto"/>
            <w:vAlign w:val="center"/>
          </w:tcPr>
          <w:p w14:paraId="2EDBBD6C" w14:textId="77777777" w:rsidR="00C86A6B" w:rsidRPr="004E2B6D" w:rsidRDefault="00C86A6B" w:rsidP="00935D74">
            <w:pPr>
              <w:pStyle w:val="ListParagraph"/>
              <w:ind w:left="0"/>
              <w:jc w:val="center"/>
              <w:rPr>
                <w:bCs/>
                <w:sz w:val="20"/>
                <w:szCs w:val="20"/>
              </w:rPr>
            </w:pPr>
            <w:r w:rsidRPr="004E2B6D">
              <w:rPr>
                <w:bCs/>
                <w:sz w:val="20"/>
                <w:szCs w:val="20"/>
              </w:rPr>
              <w:t>n</w:t>
            </w:r>
          </w:p>
        </w:tc>
        <w:tc>
          <w:tcPr>
            <w:tcW w:w="1243" w:type="dxa"/>
            <w:shd w:val="clear" w:color="auto" w:fill="auto"/>
            <w:vAlign w:val="center"/>
          </w:tcPr>
          <w:p w14:paraId="3EFEB1B2" w14:textId="77777777" w:rsidR="00C86A6B" w:rsidRPr="004E2B6D" w:rsidRDefault="00C86A6B" w:rsidP="00935D74">
            <w:pPr>
              <w:pStyle w:val="ListParagraph"/>
              <w:ind w:left="0"/>
              <w:jc w:val="center"/>
              <w:rPr>
                <w:bCs/>
                <w:sz w:val="20"/>
                <w:szCs w:val="20"/>
              </w:rPr>
            </w:pPr>
            <w:r w:rsidRPr="004E2B6D">
              <w:rPr>
                <w:bCs/>
                <w:sz w:val="20"/>
                <w:szCs w:val="20"/>
              </w:rPr>
              <w:t>11</w:t>
            </w:r>
          </w:p>
        </w:tc>
        <w:tc>
          <w:tcPr>
            <w:tcW w:w="1275" w:type="dxa"/>
            <w:shd w:val="clear" w:color="auto" w:fill="auto"/>
            <w:vAlign w:val="center"/>
          </w:tcPr>
          <w:p w14:paraId="4BF3C737" w14:textId="77777777" w:rsidR="00C86A6B" w:rsidRPr="004E2B6D" w:rsidRDefault="00C86A6B" w:rsidP="00935D74">
            <w:pPr>
              <w:pStyle w:val="ListParagraph"/>
              <w:ind w:left="0"/>
              <w:jc w:val="center"/>
              <w:rPr>
                <w:bCs/>
                <w:sz w:val="20"/>
                <w:szCs w:val="20"/>
              </w:rPr>
            </w:pPr>
            <w:r w:rsidRPr="004E2B6D">
              <w:rPr>
                <w:bCs/>
                <w:sz w:val="20"/>
                <w:szCs w:val="20"/>
              </w:rPr>
              <w:t>16</w:t>
            </w:r>
          </w:p>
        </w:tc>
        <w:tc>
          <w:tcPr>
            <w:tcW w:w="1134" w:type="dxa"/>
            <w:shd w:val="clear" w:color="auto" w:fill="auto"/>
            <w:vAlign w:val="center"/>
          </w:tcPr>
          <w:p w14:paraId="622E62BE" w14:textId="77777777" w:rsidR="00C86A6B" w:rsidRPr="004E2B6D" w:rsidRDefault="00C86A6B" w:rsidP="00935D74">
            <w:pPr>
              <w:pStyle w:val="ListParagraph"/>
              <w:ind w:left="0"/>
              <w:jc w:val="center"/>
              <w:rPr>
                <w:bCs/>
                <w:sz w:val="20"/>
                <w:szCs w:val="20"/>
              </w:rPr>
            </w:pPr>
            <w:r w:rsidRPr="004E2B6D">
              <w:rPr>
                <w:bCs/>
                <w:sz w:val="20"/>
                <w:szCs w:val="20"/>
              </w:rPr>
              <w:t>2</w:t>
            </w:r>
          </w:p>
        </w:tc>
        <w:tc>
          <w:tcPr>
            <w:tcW w:w="1276" w:type="dxa"/>
            <w:vMerge/>
            <w:shd w:val="clear" w:color="auto" w:fill="auto"/>
            <w:vAlign w:val="center"/>
          </w:tcPr>
          <w:p w14:paraId="288F0418" w14:textId="1BF3377A" w:rsidR="00C86A6B" w:rsidRPr="004E2B6D" w:rsidRDefault="00C86A6B" w:rsidP="00935D74">
            <w:pPr>
              <w:pStyle w:val="ListParagraph"/>
              <w:ind w:left="0"/>
              <w:jc w:val="center"/>
              <w:rPr>
                <w:bCs/>
                <w:sz w:val="20"/>
                <w:szCs w:val="20"/>
              </w:rPr>
            </w:pPr>
          </w:p>
        </w:tc>
      </w:tr>
      <w:tr w:rsidR="004E2B6D" w:rsidRPr="004E2B6D" w14:paraId="241B78E4" w14:textId="77777777" w:rsidTr="004019CD">
        <w:trPr>
          <w:trHeight w:val="170"/>
          <w:tblHeader/>
          <w:jc w:val="center"/>
        </w:trPr>
        <w:tc>
          <w:tcPr>
            <w:tcW w:w="1749" w:type="dxa"/>
            <w:vMerge/>
            <w:shd w:val="clear" w:color="auto" w:fill="auto"/>
            <w:vAlign w:val="center"/>
          </w:tcPr>
          <w:p w14:paraId="4612E980" w14:textId="77777777" w:rsidR="00C86A6B" w:rsidRPr="004E2B6D" w:rsidRDefault="00C86A6B" w:rsidP="00935D74">
            <w:pPr>
              <w:pStyle w:val="ListParagraph"/>
              <w:ind w:left="0"/>
              <w:jc w:val="center"/>
              <w:rPr>
                <w:bCs/>
                <w:sz w:val="20"/>
                <w:szCs w:val="20"/>
              </w:rPr>
            </w:pPr>
          </w:p>
        </w:tc>
        <w:tc>
          <w:tcPr>
            <w:tcW w:w="709" w:type="dxa"/>
            <w:shd w:val="clear" w:color="auto" w:fill="auto"/>
            <w:vAlign w:val="center"/>
          </w:tcPr>
          <w:p w14:paraId="5E94A2C6" w14:textId="77777777" w:rsidR="00C86A6B" w:rsidRPr="004E2B6D" w:rsidRDefault="00C86A6B" w:rsidP="00935D74">
            <w:pPr>
              <w:pStyle w:val="ListParagraph"/>
              <w:ind w:left="0"/>
              <w:jc w:val="center"/>
              <w:rPr>
                <w:bCs/>
                <w:sz w:val="20"/>
                <w:szCs w:val="20"/>
              </w:rPr>
            </w:pPr>
            <w:r w:rsidRPr="004E2B6D">
              <w:rPr>
                <w:bCs/>
                <w:sz w:val="20"/>
                <w:szCs w:val="20"/>
              </w:rPr>
              <w:t>%</w:t>
            </w:r>
          </w:p>
        </w:tc>
        <w:tc>
          <w:tcPr>
            <w:tcW w:w="1243" w:type="dxa"/>
            <w:shd w:val="clear" w:color="auto" w:fill="auto"/>
            <w:vAlign w:val="center"/>
          </w:tcPr>
          <w:p w14:paraId="07356684" w14:textId="77777777" w:rsidR="00C86A6B" w:rsidRPr="004E2B6D" w:rsidRDefault="00C86A6B" w:rsidP="00935D74">
            <w:pPr>
              <w:pStyle w:val="ListParagraph"/>
              <w:ind w:left="0"/>
              <w:jc w:val="center"/>
              <w:rPr>
                <w:bCs/>
                <w:sz w:val="20"/>
                <w:szCs w:val="20"/>
              </w:rPr>
            </w:pPr>
            <w:r w:rsidRPr="004E2B6D">
              <w:rPr>
                <w:bCs/>
                <w:sz w:val="20"/>
                <w:szCs w:val="20"/>
              </w:rPr>
              <w:t>57,9</w:t>
            </w:r>
          </w:p>
        </w:tc>
        <w:tc>
          <w:tcPr>
            <w:tcW w:w="1275" w:type="dxa"/>
            <w:shd w:val="clear" w:color="auto" w:fill="auto"/>
            <w:vAlign w:val="center"/>
          </w:tcPr>
          <w:p w14:paraId="26AA8E9A" w14:textId="77777777" w:rsidR="00C86A6B" w:rsidRPr="004E2B6D" w:rsidRDefault="00C86A6B" w:rsidP="00935D74">
            <w:pPr>
              <w:pStyle w:val="ListParagraph"/>
              <w:ind w:left="0"/>
              <w:jc w:val="center"/>
              <w:rPr>
                <w:bCs/>
                <w:sz w:val="20"/>
                <w:szCs w:val="20"/>
              </w:rPr>
            </w:pPr>
            <w:r w:rsidRPr="004E2B6D">
              <w:rPr>
                <w:bCs/>
                <w:sz w:val="20"/>
                <w:szCs w:val="20"/>
              </w:rPr>
              <w:t>61,5</w:t>
            </w:r>
          </w:p>
        </w:tc>
        <w:tc>
          <w:tcPr>
            <w:tcW w:w="1134" w:type="dxa"/>
            <w:shd w:val="clear" w:color="auto" w:fill="auto"/>
            <w:vAlign w:val="center"/>
          </w:tcPr>
          <w:p w14:paraId="782D69B5" w14:textId="77777777" w:rsidR="00C86A6B" w:rsidRPr="004E2B6D" w:rsidRDefault="00C86A6B" w:rsidP="00935D74">
            <w:pPr>
              <w:pStyle w:val="ListParagraph"/>
              <w:ind w:left="0"/>
              <w:jc w:val="center"/>
              <w:rPr>
                <w:bCs/>
                <w:sz w:val="20"/>
                <w:szCs w:val="20"/>
              </w:rPr>
            </w:pPr>
            <w:r w:rsidRPr="004E2B6D">
              <w:rPr>
                <w:bCs/>
                <w:sz w:val="20"/>
                <w:szCs w:val="20"/>
              </w:rPr>
              <w:t>66,7</w:t>
            </w:r>
          </w:p>
        </w:tc>
        <w:tc>
          <w:tcPr>
            <w:tcW w:w="1276" w:type="dxa"/>
            <w:vMerge/>
            <w:shd w:val="clear" w:color="auto" w:fill="auto"/>
            <w:vAlign w:val="center"/>
          </w:tcPr>
          <w:p w14:paraId="013D34B3" w14:textId="4E923EA2" w:rsidR="00C86A6B" w:rsidRPr="004E2B6D" w:rsidRDefault="00C86A6B" w:rsidP="00935D74">
            <w:pPr>
              <w:pStyle w:val="ListParagraph"/>
              <w:ind w:left="0"/>
              <w:jc w:val="center"/>
              <w:rPr>
                <w:bCs/>
                <w:sz w:val="20"/>
                <w:szCs w:val="20"/>
              </w:rPr>
            </w:pPr>
          </w:p>
        </w:tc>
      </w:tr>
      <w:tr w:rsidR="004E2B6D" w:rsidRPr="004E2B6D" w14:paraId="1D0ADFAC" w14:textId="77777777" w:rsidTr="004019CD">
        <w:trPr>
          <w:trHeight w:val="170"/>
          <w:tblHeader/>
          <w:jc w:val="center"/>
        </w:trPr>
        <w:tc>
          <w:tcPr>
            <w:tcW w:w="1749" w:type="dxa"/>
            <w:shd w:val="clear" w:color="auto" w:fill="auto"/>
            <w:vAlign w:val="center"/>
          </w:tcPr>
          <w:p w14:paraId="64548DB4" w14:textId="77777777" w:rsidR="00042A6A" w:rsidRPr="004E2B6D" w:rsidRDefault="00042A6A" w:rsidP="00935D74">
            <w:pPr>
              <w:pStyle w:val="ListParagraph"/>
              <w:ind w:left="0"/>
              <w:jc w:val="center"/>
              <w:rPr>
                <w:sz w:val="20"/>
                <w:szCs w:val="20"/>
              </w:rPr>
            </w:pPr>
            <w:r w:rsidRPr="004E2B6D">
              <w:rPr>
                <w:sz w:val="20"/>
                <w:szCs w:val="20"/>
              </w:rPr>
              <w:t>Frekuensi operasi</w:t>
            </w:r>
          </w:p>
        </w:tc>
        <w:tc>
          <w:tcPr>
            <w:tcW w:w="709" w:type="dxa"/>
            <w:shd w:val="clear" w:color="auto" w:fill="auto"/>
            <w:vAlign w:val="center"/>
          </w:tcPr>
          <w:p w14:paraId="1ACD2CAD" w14:textId="77777777" w:rsidR="00042A6A" w:rsidRPr="004E2B6D" w:rsidRDefault="00042A6A" w:rsidP="00935D74">
            <w:pPr>
              <w:pStyle w:val="ListParagraph"/>
              <w:ind w:left="0"/>
              <w:jc w:val="center"/>
              <w:rPr>
                <w:sz w:val="20"/>
                <w:szCs w:val="20"/>
              </w:rPr>
            </w:pPr>
          </w:p>
        </w:tc>
        <w:tc>
          <w:tcPr>
            <w:tcW w:w="1243" w:type="dxa"/>
            <w:shd w:val="clear" w:color="auto" w:fill="auto"/>
            <w:vAlign w:val="center"/>
          </w:tcPr>
          <w:p w14:paraId="4C37AD1B" w14:textId="77777777" w:rsidR="00042A6A" w:rsidRPr="004E2B6D" w:rsidRDefault="00042A6A" w:rsidP="00935D74">
            <w:pPr>
              <w:pStyle w:val="ListParagraph"/>
              <w:ind w:left="0"/>
              <w:jc w:val="center"/>
              <w:rPr>
                <w:sz w:val="20"/>
                <w:szCs w:val="20"/>
              </w:rPr>
            </w:pPr>
          </w:p>
        </w:tc>
        <w:tc>
          <w:tcPr>
            <w:tcW w:w="1275" w:type="dxa"/>
            <w:shd w:val="clear" w:color="auto" w:fill="auto"/>
            <w:vAlign w:val="center"/>
          </w:tcPr>
          <w:p w14:paraId="0EF8D0DC" w14:textId="77777777" w:rsidR="00042A6A" w:rsidRPr="004E2B6D" w:rsidRDefault="00042A6A" w:rsidP="00935D74">
            <w:pPr>
              <w:pStyle w:val="ListParagraph"/>
              <w:ind w:left="0"/>
              <w:jc w:val="center"/>
              <w:rPr>
                <w:sz w:val="20"/>
                <w:szCs w:val="20"/>
              </w:rPr>
            </w:pPr>
          </w:p>
        </w:tc>
        <w:tc>
          <w:tcPr>
            <w:tcW w:w="1134" w:type="dxa"/>
            <w:shd w:val="clear" w:color="auto" w:fill="auto"/>
            <w:vAlign w:val="center"/>
          </w:tcPr>
          <w:p w14:paraId="7A71388C" w14:textId="77777777" w:rsidR="00042A6A" w:rsidRPr="004E2B6D" w:rsidRDefault="00042A6A" w:rsidP="00935D74">
            <w:pPr>
              <w:pStyle w:val="ListParagraph"/>
              <w:ind w:left="0"/>
              <w:jc w:val="center"/>
              <w:rPr>
                <w:sz w:val="20"/>
                <w:szCs w:val="20"/>
              </w:rPr>
            </w:pPr>
          </w:p>
        </w:tc>
        <w:tc>
          <w:tcPr>
            <w:tcW w:w="1276" w:type="dxa"/>
            <w:shd w:val="clear" w:color="auto" w:fill="auto"/>
            <w:vAlign w:val="center"/>
          </w:tcPr>
          <w:p w14:paraId="4CF98FB5" w14:textId="36EE0578" w:rsidR="00042A6A" w:rsidRPr="004E2B6D" w:rsidRDefault="00042A6A" w:rsidP="00935D74">
            <w:pPr>
              <w:pStyle w:val="ListParagraph"/>
              <w:ind w:left="0"/>
              <w:jc w:val="center"/>
              <w:rPr>
                <w:sz w:val="20"/>
                <w:szCs w:val="20"/>
              </w:rPr>
            </w:pPr>
          </w:p>
        </w:tc>
      </w:tr>
      <w:tr w:rsidR="004E2B6D" w:rsidRPr="004E2B6D" w14:paraId="2852D8B8" w14:textId="77777777" w:rsidTr="004019CD">
        <w:trPr>
          <w:trHeight w:val="170"/>
          <w:tblHeader/>
          <w:jc w:val="center"/>
        </w:trPr>
        <w:tc>
          <w:tcPr>
            <w:tcW w:w="1749" w:type="dxa"/>
            <w:vMerge w:val="restart"/>
            <w:shd w:val="clear" w:color="auto" w:fill="auto"/>
            <w:vAlign w:val="center"/>
          </w:tcPr>
          <w:p w14:paraId="45337B3D" w14:textId="77777777" w:rsidR="00C86A6B" w:rsidRPr="004E2B6D" w:rsidRDefault="00C86A6B" w:rsidP="00935D74">
            <w:pPr>
              <w:pStyle w:val="ListParagraph"/>
              <w:ind w:left="0"/>
              <w:jc w:val="center"/>
              <w:rPr>
                <w:bCs/>
                <w:sz w:val="20"/>
                <w:szCs w:val="20"/>
              </w:rPr>
            </w:pPr>
            <w:r w:rsidRPr="004E2B6D">
              <w:rPr>
                <w:bCs/>
                <w:sz w:val="20"/>
                <w:szCs w:val="20"/>
              </w:rPr>
              <w:t>Sekali</w:t>
            </w:r>
          </w:p>
        </w:tc>
        <w:tc>
          <w:tcPr>
            <w:tcW w:w="709" w:type="dxa"/>
            <w:shd w:val="clear" w:color="auto" w:fill="auto"/>
            <w:vAlign w:val="center"/>
          </w:tcPr>
          <w:p w14:paraId="630B9E03" w14:textId="77777777" w:rsidR="00C86A6B" w:rsidRPr="004E2B6D" w:rsidRDefault="00C86A6B" w:rsidP="00935D74">
            <w:pPr>
              <w:pStyle w:val="ListParagraph"/>
              <w:ind w:left="0"/>
              <w:jc w:val="center"/>
              <w:rPr>
                <w:bCs/>
                <w:sz w:val="20"/>
                <w:szCs w:val="20"/>
              </w:rPr>
            </w:pPr>
            <w:r w:rsidRPr="004E2B6D">
              <w:rPr>
                <w:bCs/>
                <w:sz w:val="20"/>
                <w:szCs w:val="20"/>
              </w:rPr>
              <w:t>n</w:t>
            </w:r>
          </w:p>
        </w:tc>
        <w:tc>
          <w:tcPr>
            <w:tcW w:w="1243" w:type="dxa"/>
            <w:shd w:val="clear" w:color="auto" w:fill="auto"/>
            <w:vAlign w:val="center"/>
          </w:tcPr>
          <w:p w14:paraId="4FB9C489" w14:textId="77777777" w:rsidR="00C86A6B" w:rsidRPr="004E2B6D" w:rsidRDefault="00C86A6B" w:rsidP="00935D74">
            <w:pPr>
              <w:pStyle w:val="ListParagraph"/>
              <w:ind w:left="0"/>
              <w:jc w:val="center"/>
              <w:rPr>
                <w:bCs/>
                <w:sz w:val="20"/>
                <w:szCs w:val="20"/>
              </w:rPr>
            </w:pPr>
            <w:r w:rsidRPr="004E2B6D">
              <w:rPr>
                <w:bCs/>
                <w:sz w:val="20"/>
                <w:szCs w:val="20"/>
              </w:rPr>
              <w:t>17</w:t>
            </w:r>
          </w:p>
        </w:tc>
        <w:tc>
          <w:tcPr>
            <w:tcW w:w="1275" w:type="dxa"/>
            <w:shd w:val="clear" w:color="auto" w:fill="auto"/>
            <w:vAlign w:val="center"/>
          </w:tcPr>
          <w:p w14:paraId="24B5A7BE" w14:textId="77777777" w:rsidR="00C86A6B" w:rsidRPr="004E2B6D" w:rsidRDefault="00C86A6B" w:rsidP="00935D74">
            <w:pPr>
              <w:pStyle w:val="ListParagraph"/>
              <w:ind w:left="0"/>
              <w:jc w:val="center"/>
              <w:rPr>
                <w:bCs/>
                <w:sz w:val="20"/>
                <w:szCs w:val="20"/>
              </w:rPr>
            </w:pPr>
            <w:r w:rsidRPr="004E2B6D">
              <w:rPr>
                <w:bCs/>
                <w:sz w:val="20"/>
                <w:szCs w:val="20"/>
              </w:rPr>
              <w:t>19</w:t>
            </w:r>
          </w:p>
        </w:tc>
        <w:tc>
          <w:tcPr>
            <w:tcW w:w="1134" w:type="dxa"/>
            <w:shd w:val="clear" w:color="auto" w:fill="auto"/>
            <w:vAlign w:val="center"/>
          </w:tcPr>
          <w:p w14:paraId="67F0F40B" w14:textId="77777777" w:rsidR="00C86A6B" w:rsidRPr="004E2B6D" w:rsidRDefault="00C86A6B" w:rsidP="00935D74">
            <w:pPr>
              <w:pStyle w:val="ListParagraph"/>
              <w:ind w:left="0"/>
              <w:jc w:val="center"/>
              <w:rPr>
                <w:bCs/>
                <w:sz w:val="20"/>
                <w:szCs w:val="20"/>
              </w:rPr>
            </w:pPr>
            <w:r w:rsidRPr="004E2B6D">
              <w:rPr>
                <w:bCs/>
                <w:sz w:val="20"/>
                <w:szCs w:val="20"/>
              </w:rPr>
              <w:t>3</w:t>
            </w:r>
          </w:p>
        </w:tc>
        <w:tc>
          <w:tcPr>
            <w:tcW w:w="1276" w:type="dxa"/>
            <w:vMerge w:val="restart"/>
            <w:shd w:val="clear" w:color="auto" w:fill="auto"/>
            <w:vAlign w:val="center"/>
          </w:tcPr>
          <w:p w14:paraId="21CF49E7" w14:textId="6185D93F" w:rsidR="00C86A6B" w:rsidRPr="004E2B6D" w:rsidRDefault="00C86A6B" w:rsidP="00935D74">
            <w:pPr>
              <w:pStyle w:val="ListParagraph"/>
              <w:ind w:left="0"/>
              <w:jc w:val="center"/>
              <w:rPr>
                <w:bCs/>
                <w:sz w:val="20"/>
                <w:szCs w:val="20"/>
              </w:rPr>
            </w:pPr>
            <w:r w:rsidRPr="004E2B6D">
              <w:rPr>
                <w:bCs/>
                <w:sz w:val="20"/>
                <w:szCs w:val="20"/>
              </w:rPr>
              <w:t>0,262</w:t>
            </w:r>
          </w:p>
        </w:tc>
      </w:tr>
      <w:tr w:rsidR="004E2B6D" w:rsidRPr="004E2B6D" w14:paraId="32972F83" w14:textId="77777777" w:rsidTr="004019CD">
        <w:trPr>
          <w:trHeight w:val="170"/>
          <w:tblHeader/>
          <w:jc w:val="center"/>
        </w:trPr>
        <w:tc>
          <w:tcPr>
            <w:tcW w:w="1749" w:type="dxa"/>
            <w:vMerge/>
            <w:shd w:val="clear" w:color="auto" w:fill="auto"/>
            <w:vAlign w:val="center"/>
          </w:tcPr>
          <w:p w14:paraId="0D50CE5C" w14:textId="77777777" w:rsidR="00C86A6B" w:rsidRPr="004E2B6D" w:rsidRDefault="00C86A6B" w:rsidP="00935D74">
            <w:pPr>
              <w:pStyle w:val="ListParagraph"/>
              <w:ind w:left="0"/>
              <w:jc w:val="center"/>
              <w:rPr>
                <w:bCs/>
                <w:sz w:val="20"/>
                <w:szCs w:val="20"/>
              </w:rPr>
            </w:pPr>
          </w:p>
        </w:tc>
        <w:tc>
          <w:tcPr>
            <w:tcW w:w="709" w:type="dxa"/>
            <w:shd w:val="clear" w:color="auto" w:fill="auto"/>
            <w:vAlign w:val="center"/>
          </w:tcPr>
          <w:p w14:paraId="700945C8" w14:textId="77777777" w:rsidR="00C86A6B" w:rsidRPr="004E2B6D" w:rsidRDefault="00C86A6B" w:rsidP="00935D74">
            <w:pPr>
              <w:pStyle w:val="ListParagraph"/>
              <w:ind w:left="0"/>
              <w:jc w:val="center"/>
              <w:rPr>
                <w:bCs/>
                <w:sz w:val="20"/>
                <w:szCs w:val="20"/>
              </w:rPr>
            </w:pPr>
            <w:r w:rsidRPr="004E2B6D">
              <w:rPr>
                <w:bCs/>
                <w:sz w:val="20"/>
                <w:szCs w:val="20"/>
              </w:rPr>
              <w:t>%</w:t>
            </w:r>
          </w:p>
        </w:tc>
        <w:tc>
          <w:tcPr>
            <w:tcW w:w="1243" w:type="dxa"/>
            <w:shd w:val="clear" w:color="auto" w:fill="auto"/>
            <w:vAlign w:val="center"/>
          </w:tcPr>
          <w:p w14:paraId="2EC709DC" w14:textId="77777777" w:rsidR="00C86A6B" w:rsidRPr="004E2B6D" w:rsidRDefault="00C86A6B" w:rsidP="00935D74">
            <w:pPr>
              <w:pStyle w:val="ListParagraph"/>
              <w:ind w:left="0"/>
              <w:jc w:val="center"/>
              <w:rPr>
                <w:bCs/>
                <w:sz w:val="20"/>
                <w:szCs w:val="20"/>
              </w:rPr>
            </w:pPr>
            <w:r w:rsidRPr="004E2B6D">
              <w:rPr>
                <w:bCs/>
                <w:sz w:val="20"/>
                <w:szCs w:val="20"/>
              </w:rPr>
              <w:t>89,5</w:t>
            </w:r>
          </w:p>
        </w:tc>
        <w:tc>
          <w:tcPr>
            <w:tcW w:w="1275" w:type="dxa"/>
            <w:shd w:val="clear" w:color="auto" w:fill="auto"/>
            <w:vAlign w:val="center"/>
          </w:tcPr>
          <w:p w14:paraId="24D20EAC" w14:textId="77777777" w:rsidR="00C86A6B" w:rsidRPr="004E2B6D" w:rsidRDefault="00C86A6B" w:rsidP="00935D74">
            <w:pPr>
              <w:pStyle w:val="ListParagraph"/>
              <w:ind w:left="0"/>
              <w:jc w:val="center"/>
              <w:rPr>
                <w:bCs/>
                <w:sz w:val="20"/>
                <w:szCs w:val="20"/>
              </w:rPr>
            </w:pPr>
            <w:r w:rsidRPr="004E2B6D">
              <w:rPr>
                <w:bCs/>
                <w:sz w:val="20"/>
                <w:szCs w:val="20"/>
              </w:rPr>
              <w:t>73,1</w:t>
            </w:r>
          </w:p>
        </w:tc>
        <w:tc>
          <w:tcPr>
            <w:tcW w:w="1134" w:type="dxa"/>
            <w:shd w:val="clear" w:color="auto" w:fill="auto"/>
            <w:vAlign w:val="center"/>
          </w:tcPr>
          <w:p w14:paraId="2989967B" w14:textId="77777777" w:rsidR="00C86A6B" w:rsidRPr="004E2B6D" w:rsidRDefault="00C86A6B" w:rsidP="00935D74">
            <w:pPr>
              <w:pStyle w:val="ListParagraph"/>
              <w:ind w:left="0"/>
              <w:jc w:val="center"/>
              <w:rPr>
                <w:bCs/>
                <w:sz w:val="20"/>
                <w:szCs w:val="20"/>
              </w:rPr>
            </w:pPr>
            <w:r w:rsidRPr="004E2B6D">
              <w:rPr>
                <w:bCs/>
                <w:sz w:val="20"/>
                <w:szCs w:val="20"/>
              </w:rPr>
              <w:t>100</w:t>
            </w:r>
          </w:p>
        </w:tc>
        <w:tc>
          <w:tcPr>
            <w:tcW w:w="1276" w:type="dxa"/>
            <w:vMerge/>
            <w:shd w:val="clear" w:color="auto" w:fill="auto"/>
            <w:vAlign w:val="center"/>
          </w:tcPr>
          <w:p w14:paraId="1E5EB6CA" w14:textId="083DCEB2" w:rsidR="00C86A6B" w:rsidRPr="004E2B6D" w:rsidRDefault="00C86A6B" w:rsidP="00935D74">
            <w:pPr>
              <w:pStyle w:val="ListParagraph"/>
              <w:ind w:left="0"/>
              <w:jc w:val="center"/>
              <w:rPr>
                <w:bCs/>
                <w:sz w:val="20"/>
                <w:szCs w:val="20"/>
              </w:rPr>
            </w:pPr>
          </w:p>
        </w:tc>
      </w:tr>
      <w:tr w:rsidR="004E2B6D" w:rsidRPr="004E2B6D" w14:paraId="4EC9DBE4" w14:textId="77777777" w:rsidTr="004019CD">
        <w:trPr>
          <w:trHeight w:val="170"/>
          <w:tblHeader/>
          <w:jc w:val="center"/>
        </w:trPr>
        <w:tc>
          <w:tcPr>
            <w:tcW w:w="1749" w:type="dxa"/>
            <w:vMerge w:val="restart"/>
            <w:shd w:val="clear" w:color="auto" w:fill="auto"/>
            <w:vAlign w:val="center"/>
          </w:tcPr>
          <w:p w14:paraId="6D067D0B" w14:textId="77777777" w:rsidR="00C86A6B" w:rsidRPr="004E2B6D" w:rsidRDefault="00C86A6B" w:rsidP="00935D74">
            <w:pPr>
              <w:pStyle w:val="ListParagraph"/>
              <w:ind w:left="0"/>
              <w:jc w:val="center"/>
              <w:rPr>
                <w:bCs/>
                <w:sz w:val="20"/>
                <w:szCs w:val="20"/>
              </w:rPr>
            </w:pPr>
            <w:r w:rsidRPr="004E2B6D">
              <w:rPr>
                <w:bCs/>
                <w:sz w:val="20"/>
                <w:szCs w:val="20"/>
              </w:rPr>
              <w:t>Lebih dari sekali</w:t>
            </w:r>
          </w:p>
        </w:tc>
        <w:tc>
          <w:tcPr>
            <w:tcW w:w="709" w:type="dxa"/>
            <w:shd w:val="clear" w:color="auto" w:fill="auto"/>
            <w:vAlign w:val="center"/>
          </w:tcPr>
          <w:p w14:paraId="2CF801A3" w14:textId="77777777" w:rsidR="00C86A6B" w:rsidRPr="004E2B6D" w:rsidRDefault="00C86A6B" w:rsidP="00935D74">
            <w:pPr>
              <w:pStyle w:val="ListParagraph"/>
              <w:ind w:left="0"/>
              <w:jc w:val="center"/>
              <w:rPr>
                <w:bCs/>
                <w:sz w:val="20"/>
                <w:szCs w:val="20"/>
              </w:rPr>
            </w:pPr>
            <w:r w:rsidRPr="004E2B6D">
              <w:rPr>
                <w:bCs/>
                <w:sz w:val="20"/>
                <w:szCs w:val="20"/>
              </w:rPr>
              <w:t>n</w:t>
            </w:r>
          </w:p>
        </w:tc>
        <w:tc>
          <w:tcPr>
            <w:tcW w:w="1243" w:type="dxa"/>
            <w:shd w:val="clear" w:color="auto" w:fill="auto"/>
            <w:vAlign w:val="center"/>
          </w:tcPr>
          <w:p w14:paraId="4163A0C2" w14:textId="77777777" w:rsidR="00C86A6B" w:rsidRPr="004E2B6D" w:rsidRDefault="00C86A6B" w:rsidP="00935D74">
            <w:pPr>
              <w:pStyle w:val="ListParagraph"/>
              <w:ind w:left="0"/>
              <w:jc w:val="center"/>
              <w:rPr>
                <w:bCs/>
                <w:sz w:val="20"/>
                <w:szCs w:val="20"/>
              </w:rPr>
            </w:pPr>
            <w:r w:rsidRPr="004E2B6D">
              <w:rPr>
                <w:bCs/>
                <w:sz w:val="20"/>
                <w:szCs w:val="20"/>
              </w:rPr>
              <w:t>2</w:t>
            </w:r>
          </w:p>
        </w:tc>
        <w:tc>
          <w:tcPr>
            <w:tcW w:w="1275" w:type="dxa"/>
            <w:shd w:val="clear" w:color="auto" w:fill="auto"/>
            <w:vAlign w:val="center"/>
          </w:tcPr>
          <w:p w14:paraId="261B0473" w14:textId="77777777" w:rsidR="00C86A6B" w:rsidRPr="004E2B6D" w:rsidRDefault="00C86A6B" w:rsidP="00935D74">
            <w:pPr>
              <w:pStyle w:val="ListParagraph"/>
              <w:ind w:left="0"/>
              <w:jc w:val="center"/>
              <w:rPr>
                <w:bCs/>
                <w:sz w:val="20"/>
                <w:szCs w:val="20"/>
              </w:rPr>
            </w:pPr>
            <w:r w:rsidRPr="004E2B6D">
              <w:rPr>
                <w:bCs/>
                <w:sz w:val="20"/>
                <w:szCs w:val="20"/>
              </w:rPr>
              <w:t>7</w:t>
            </w:r>
          </w:p>
        </w:tc>
        <w:tc>
          <w:tcPr>
            <w:tcW w:w="1134" w:type="dxa"/>
            <w:shd w:val="clear" w:color="auto" w:fill="auto"/>
            <w:vAlign w:val="center"/>
          </w:tcPr>
          <w:p w14:paraId="75867EAD"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6" w:type="dxa"/>
            <w:vMerge/>
            <w:shd w:val="clear" w:color="auto" w:fill="auto"/>
            <w:vAlign w:val="center"/>
          </w:tcPr>
          <w:p w14:paraId="43B696F4" w14:textId="3131BD1A" w:rsidR="00C86A6B" w:rsidRPr="004E2B6D" w:rsidRDefault="00C86A6B" w:rsidP="00935D74">
            <w:pPr>
              <w:pStyle w:val="ListParagraph"/>
              <w:ind w:left="0"/>
              <w:jc w:val="center"/>
              <w:rPr>
                <w:bCs/>
                <w:sz w:val="20"/>
                <w:szCs w:val="20"/>
              </w:rPr>
            </w:pPr>
          </w:p>
        </w:tc>
      </w:tr>
      <w:tr w:rsidR="004E2B6D" w:rsidRPr="004E2B6D" w14:paraId="4D74B96A" w14:textId="77777777" w:rsidTr="004019CD">
        <w:trPr>
          <w:trHeight w:val="170"/>
          <w:tblHeader/>
          <w:jc w:val="center"/>
        </w:trPr>
        <w:tc>
          <w:tcPr>
            <w:tcW w:w="1749" w:type="dxa"/>
            <w:vMerge/>
            <w:shd w:val="clear" w:color="auto" w:fill="auto"/>
            <w:vAlign w:val="center"/>
          </w:tcPr>
          <w:p w14:paraId="31059E15" w14:textId="77777777" w:rsidR="00C86A6B" w:rsidRPr="004E2B6D" w:rsidRDefault="00C86A6B" w:rsidP="00935D74">
            <w:pPr>
              <w:pStyle w:val="ListParagraph"/>
              <w:ind w:left="0"/>
              <w:jc w:val="center"/>
              <w:rPr>
                <w:bCs/>
                <w:sz w:val="20"/>
                <w:szCs w:val="20"/>
              </w:rPr>
            </w:pPr>
          </w:p>
        </w:tc>
        <w:tc>
          <w:tcPr>
            <w:tcW w:w="709" w:type="dxa"/>
            <w:shd w:val="clear" w:color="auto" w:fill="auto"/>
            <w:vAlign w:val="center"/>
          </w:tcPr>
          <w:p w14:paraId="3F8E66D1" w14:textId="77777777" w:rsidR="00C86A6B" w:rsidRPr="004E2B6D" w:rsidRDefault="00C86A6B" w:rsidP="00935D74">
            <w:pPr>
              <w:pStyle w:val="ListParagraph"/>
              <w:ind w:left="0"/>
              <w:jc w:val="center"/>
              <w:rPr>
                <w:bCs/>
                <w:sz w:val="20"/>
                <w:szCs w:val="20"/>
              </w:rPr>
            </w:pPr>
            <w:r w:rsidRPr="004E2B6D">
              <w:rPr>
                <w:bCs/>
                <w:sz w:val="20"/>
                <w:szCs w:val="20"/>
              </w:rPr>
              <w:t>%</w:t>
            </w:r>
          </w:p>
        </w:tc>
        <w:tc>
          <w:tcPr>
            <w:tcW w:w="1243" w:type="dxa"/>
            <w:shd w:val="clear" w:color="auto" w:fill="auto"/>
            <w:vAlign w:val="center"/>
          </w:tcPr>
          <w:p w14:paraId="550B3BF0" w14:textId="77777777" w:rsidR="00C86A6B" w:rsidRPr="004E2B6D" w:rsidRDefault="00C86A6B" w:rsidP="00935D74">
            <w:pPr>
              <w:pStyle w:val="ListParagraph"/>
              <w:ind w:left="0"/>
              <w:jc w:val="center"/>
              <w:rPr>
                <w:bCs/>
                <w:sz w:val="20"/>
                <w:szCs w:val="20"/>
              </w:rPr>
            </w:pPr>
            <w:r w:rsidRPr="004E2B6D">
              <w:rPr>
                <w:bCs/>
                <w:sz w:val="20"/>
                <w:szCs w:val="20"/>
              </w:rPr>
              <w:t>10,5</w:t>
            </w:r>
          </w:p>
        </w:tc>
        <w:tc>
          <w:tcPr>
            <w:tcW w:w="1275" w:type="dxa"/>
            <w:shd w:val="clear" w:color="auto" w:fill="auto"/>
            <w:vAlign w:val="center"/>
          </w:tcPr>
          <w:p w14:paraId="2B074220" w14:textId="77777777" w:rsidR="00C86A6B" w:rsidRPr="004E2B6D" w:rsidRDefault="00C86A6B" w:rsidP="00935D74">
            <w:pPr>
              <w:pStyle w:val="ListParagraph"/>
              <w:ind w:left="0"/>
              <w:jc w:val="center"/>
              <w:rPr>
                <w:bCs/>
                <w:sz w:val="20"/>
                <w:szCs w:val="20"/>
              </w:rPr>
            </w:pPr>
            <w:r w:rsidRPr="004E2B6D">
              <w:rPr>
                <w:bCs/>
                <w:sz w:val="20"/>
                <w:szCs w:val="20"/>
              </w:rPr>
              <w:t>26,9</w:t>
            </w:r>
          </w:p>
        </w:tc>
        <w:tc>
          <w:tcPr>
            <w:tcW w:w="1134" w:type="dxa"/>
            <w:shd w:val="clear" w:color="auto" w:fill="auto"/>
            <w:vAlign w:val="center"/>
          </w:tcPr>
          <w:p w14:paraId="50809A98" w14:textId="77777777" w:rsidR="00C86A6B" w:rsidRPr="004E2B6D" w:rsidRDefault="00C86A6B" w:rsidP="00935D74">
            <w:pPr>
              <w:pStyle w:val="ListParagraph"/>
              <w:ind w:left="0"/>
              <w:jc w:val="center"/>
              <w:rPr>
                <w:bCs/>
                <w:sz w:val="20"/>
                <w:szCs w:val="20"/>
              </w:rPr>
            </w:pPr>
            <w:r w:rsidRPr="004E2B6D">
              <w:rPr>
                <w:bCs/>
                <w:sz w:val="20"/>
                <w:szCs w:val="20"/>
              </w:rPr>
              <w:t>0</w:t>
            </w:r>
          </w:p>
        </w:tc>
        <w:tc>
          <w:tcPr>
            <w:tcW w:w="1276" w:type="dxa"/>
            <w:vMerge/>
            <w:shd w:val="clear" w:color="auto" w:fill="auto"/>
            <w:vAlign w:val="center"/>
          </w:tcPr>
          <w:p w14:paraId="70B7924E" w14:textId="679873B1" w:rsidR="00C86A6B" w:rsidRPr="004E2B6D" w:rsidRDefault="00C86A6B" w:rsidP="00935D74">
            <w:pPr>
              <w:pStyle w:val="ListParagraph"/>
              <w:ind w:left="0"/>
              <w:jc w:val="center"/>
              <w:rPr>
                <w:bCs/>
                <w:sz w:val="20"/>
                <w:szCs w:val="20"/>
              </w:rPr>
            </w:pPr>
          </w:p>
        </w:tc>
      </w:tr>
      <w:tr w:rsidR="004E2B6D" w:rsidRPr="004E2B6D" w14:paraId="3F441D7B" w14:textId="77777777" w:rsidTr="004019CD">
        <w:trPr>
          <w:trHeight w:val="170"/>
          <w:tblHeader/>
          <w:jc w:val="center"/>
        </w:trPr>
        <w:tc>
          <w:tcPr>
            <w:tcW w:w="2458" w:type="dxa"/>
            <w:gridSpan w:val="2"/>
            <w:shd w:val="clear" w:color="auto" w:fill="auto"/>
            <w:vAlign w:val="center"/>
          </w:tcPr>
          <w:p w14:paraId="11F9F3BF" w14:textId="77777777" w:rsidR="00A65B26" w:rsidRPr="004E2B6D" w:rsidRDefault="00A65B26" w:rsidP="00935D74">
            <w:pPr>
              <w:pStyle w:val="ListParagraph"/>
              <w:ind w:left="0"/>
              <w:jc w:val="center"/>
              <w:rPr>
                <w:bCs/>
                <w:sz w:val="20"/>
                <w:szCs w:val="20"/>
              </w:rPr>
            </w:pPr>
            <w:r w:rsidRPr="004E2B6D">
              <w:rPr>
                <w:bCs/>
                <w:sz w:val="20"/>
                <w:szCs w:val="20"/>
              </w:rPr>
              <w:t>Total</w:t>
            </w:r>
          </w:p>
        </w:tc>
        <w:tc>
          <w:tcPr>
            <w:tcW w:w="1243" w:type="dxa"/>
            <w:shd w:val="clear" w:color="auto" w:fill="auto"/>
            <w:vAlign w:val="center"/>
          </w:tcPr>
          <w:p w14:paraId="3D08B0DE" w14:textId="77777777" w:rsidR="00A65B26" w:rsidRPr="004E2B6D" w:rsidRDefault="00A65B26" w:rsidP="00935D74">
            <w:pPr>
              <w:pStyle w:val="ListParagraph"/>
              <w:ind w:left="0"/>
              <w:jc w:val="center"/>
              <w:rPr>
                <w:bCs/>
                <w:sz w:val="20"/>
                <w:szCs w:val="20"/>
              </w:rPr>
            </w:pPr>
            <w:r w:rsidRPr="004E2B6D">
              <w:rPr>
                <w:bCs/>
                <w:sz w:val="20"/>
                <w:szCs w:val="20"/>
              </w:rPr>
              <w:t>19</w:t>
            </w:r>
          </w:p>
        </w:tc>
        <w:tc>
          <w:tcPr>
            <w:tcW w:w="1275" w:type="dxa"/>
            <w:shd w:val="clear" w:color="auto" w:fill="auto"/>
            <w:vAlign w:val="center"/>
          </w:tcPr>
          <w:p w14:paraId="1175FD42" w14:textId="77777777" w:rsidR="00A65B26" w:rsidRPr="004E2B6D" w:rsidRDefault="00A65B26" w:rsidP="00935D74">
            <w:pPr>
              <w:pStyle w:val="ListParagraph"/>
              <w:ind w:left="0"/>
              <w:jc w:val="center"/>
              <w:rPr>
                <w:bCs/>
                <w:sz w:val="20"/>
                <w:szCs w:val="20"/>
              </w:rPr>
            </w:pPr>
            <w:r w:rsidRPr="004E2B6D">
              <w:rPr>
                <w:bCs/>
                <w:sz w:val="20"/>
                <w:szCs w:val="20"/>
              </w:rPr>
              <w:t>26</w:t>
            </w:r>
          </w:p>
        </w:tc>
        <w:tc>
          <w:tcPr>
            <w:tcW w:w="1134" w:type="dxa"/>
            <w:shd w:val="clear" w:color="auto" w:fill="auto"/>
            <w:vAlign w:val="center"/>
          </w:tcPr>
          <w:p w14:paraId="768180D3" w14:textId="77777777" w:rsidR="00A65B26" w:rsidRPr="004E2B6D" w:rsidRDefault="00A65B26" w:rsidP="00935D74">
            <w:pPr>
              <w:pStyle w:val="ListParagraph"/>
              <w:ind w:left="0"/>
              <w:jc w:val="center"/>
              <w:rPr>
                <w:bCs/>
                <w:sz w:val="20"/>
                <w:szCs w:val="20"/>
              </w:rPr>
            </w:pPr>
            <w:r w:rsidRPr="004E2B6D">
              <w:rPr>
                <w:bCs/>
                <w:sz w:val="20"/>
                <w:szCs w:val="20"/>
              </w:rPr>
              <w:t>3</w:t>
            </w:r>
          </w:p>
        </w:tc>
        <w:tc>
          <w:tcPr>
            <w:tcW w:w="1276" w:type="dxa"/>
            <w:shd w:val="clear" w:color="auto" w:fill="auto"/>
            <w:vAlign w:val="center"/>
          </w:tcPr>
          <w:p w14:paraId="6138132A" w14:textId="0E8691D8" w:rsidR="00A65B26" w:rsidRPr="004E2B6D" w:rsidRDefault="00A65B26" w:rsidP="00935D74">
            <w:pPr>
              <w:pStyle w:val="ListParagraph"/>
              <w:ind w:left="0"/>
              <w:jc w:val="center"/>
              <w:rPr>
                <w:bCs/>
                <w:sz w:val="20"/>
                <w:szCs w:val="20"/>
              </w:rPr>
            </w:pPr>
          </w:p>
        </w:tc>
      </w:tr>
    </w:tbl>
    <w:p w14:paraId="2B2BA7EC" w14:textId="2F7EC169" w:rsidR="00A65B26" w:rsidRPr="004E2B6D" w:rsidRDefault="00A65B26" w:rsidP="00935D74">
      <w:pPr>
        <w:spacing w:after="0" w:line="240" w:lineRule="auto"/>
        <w:jc w:val="center"/>
        <w:rPr>
          <w:rFonts w:ascii="Times New Roman" w:hAnsi="Times New Roman" w:cs="Times New Roman"/>
          <w:sz w:val="24"/>
          <w:szCs w:val="24"/>
        </w:rPr>
      </w:pPr>
    </w:p>
    <w:p w14:paraId="34A7E6CC" w14:textId="77777777" w:rsidR="00B83A3A" w:rsidRPr="004E2B6D" w:rsidRDefault="008B30D4" w:rsidP="004D66B8">
      <w:pPr>
        <w:pStyle w:val="BodyText"/>
        <w:ind w:firstLine="567"/>
        <w:jc w:val="both"/>
        <w:rPr>
          <w:lang w:val="en-US"/>
        </w:rPr>
      </w:pPr>
      <w:r w:rsidRPr="004E2B6D">
        <w:tab/>
        <w:t>Hasil penelitian pada t</w:t>
      </w:r>
      <w:r w:rsidR="00B83A3A" w:rsidRPr="004E2B6D">
        <w:rPr>
          <w:lang w:val="en-US"/>
        </w:rPr>
        <w:t>abel</w:t>
      </w:r>
      <w:r w:rsidRPr="004E2B6D">
        <w:t xml:space="preserve"> 2 menunjukkan </w:t>
      </w:r>
      <w:r w:rsidR="00B83A3A" w:rsidRPr="004E2B6D">
        <w:rPr>
          <w:lang w:val="en-US"/>
        </w:rPr>
        <w:t>h</w:t>
      </w:r>
      <w:r w:rsidRPr="004E2B6D">
        <w:rPr>
          <w:lang w:val="en-US"/>
        </w:rPr>
        <w:t xml:space="preserve">ubungan karakteristik responden terhadap kecemasan pasien pre operasi tidak memiliki hubungan yang signifikan yang dilihat berdasarkan usia, jenis kelamin, pendidikan, pekerjaan, dan frekuensi operasi. Faktor usia tidak memiliki hubungan dengan tingkat kecemasan pasien pre operasi dengan nilai </w:t>
      </w:r>
      <w:r w:rsidRPr="004E2B6D">
        <w:rPr>
          <w:i/>
          <w:iCs/>
          <w:lang w:val="en-US"/>
        </w:rPr>
        <w:t>p value</w:t>
      </w:r>
      <w:r w:rsidRPr="004E2B6D">
        <w:rPr>
          <w:lang w:val="en-US"/>
        </w:rPr>
        <w:t xml:space="preserve"> sebesar 0,917 (p&gt;0,05) yang artinya tidak ada hubungan yang signifikan antara usia responden dengan kecemasan. </w:t>
      </w:r>
      <w:r w:rsidR="00B83A3A" w:rsidRPr="004E2B6D">
        <w:rPr>
          <w:lang w:val="en-US"/>
        </w:rPr>
        <w:t>Faktor</w:t>
      </w:r>
      <w:r w:rsidRPr="004E2B6D">
        <w:rPr>
          <w:lang w:val="en-US"/>
        </w:rPr>
        <w:t xml:space="preserve"> jenis kelamin dengan kecemasan pasien pre operasi menunjukkan nilai </w:t>
      </w:r>
      <w:r w:rsidRPr="004E2B6D">
        <w:rPr>
          <w:i/>
          <w:iCs/>
          <w:lang w:val="en-US"/>
        </w:rPr>
        <w:t>p value</w:t>
      </w:r>
      <w:r w:rsidRPr="004E2B6D">
        <w:rPr>
          <w:lang w:val="en-US"/>
        </w:rPr>
        <w:t xml:space="preserve"> sebesar 0,366 (p&gt;0,05) yang artinya tidak ada hubungan yang signifikan antara jenis kelamin responden dengan kecemasan pasien pre operasi. </w:t>
      </w:r>
    </w:p>
    <w:p w14:paraId="1622EE31" w14:textId="7FE2D514" w:rsidR="00935D74" w:rsidRPr="004E2B6D" w:rsidRDefault="00B83A3A" w:rsidP="004D66B8">
      <w:pPr>
        <w:pStyle w:val="BodyText"/>
        <w:ind w:firstLine="567"/>
        <w:jc w:val="both"/>
        <w:rPr>
          <w:lang w:val="en-US"/>
        </w:rPr>
      </w:pPr>
      <w:r w:rsidRPr="004E2B6D">
        <w:rPr>
          <w:lang w:val="en-US"/>
        </w:rPr>
        <w:t>Faktor t</w:t>
      </w:r>
      <w:r w:rsidR="008B30D4" w:rsidRPr="004E2B6D">
        <w:rPr>
          <w:lang w:val="en-US"/>
        </w:rPr>
        <w:t xml:space="preserve">ingkat pendidikan responden menunjukkan nilai </w:t>
      </w:r>
      <w:r w:rsidR="008B30D4" w:rsidRPr="004E2B6D">
        <w:rPr>
          <w:i/>
          <w:iCs/>
          <w:lang w:val="en-US"/>
        </w:rPr>
        <w:t>p value</w:t>
      </w:r>
      <w:r w:rsidR="008B30D4" w:rsidRPr="004E2B6D">
        <w:rPr>
          <w:lang w:val="en-US"/>
        </w:rPr>
        <w:t xml:space="preserve"> sebesar 0,495 (p&gt;0,05) yang artinya tidak ada hubungan yang signifikan antara tingkat pendidikan responden dengan kecemasan pasien pre operasi.</w:t>
      </w:r>
      <w:r w:rsidRPr="004E2B6D">
        <w:rPr>
          <w:lang w:val="en-US"/>
        </w:rPr>
        <w:t xml:space="preserve"> Faktor</w:t>
      </w:r>
      <w:r w:rsidR="008B30D4" w:rsidRPr="004E2B6D">
        <w:rPr>
          <w:lang w:val="en-US"/>
        </w:rPr>
        <w:t xml:space="preserve"> pekerjaan dengan kecemasan pasien pre operasi menunjukkan nilai </w:t>
      </w:r>
      <w:r w:rsidR="008B30D4" w:rsidRPr="004E2B6D">
        <w:rPr>
          <w:i/>
          <w:iCs/>
          <w:lang w:val="en-US"/>
        </w:rPr>
        <w:t>p value</w:t>
      </w:r>
      <w:r w:rsidR="008B30D4" w:rsidRPr="004E2B6D">
        <w:rPr>
          <w:lang w:val="en-US"/>
        </w:rPr>
        <w:t xml:space="preserve"> sebesar 0,945 (p&gt;0,05) yang artinya tidak ada hubungan yang signifikan antara pekerjaan responden dengan kecemasan pasien operasi. </w:t>
      </w:r>
      <w:r w:rsidRPr="004E2B6D">
        <w:rPr>
          <w:lang w:val="en-US"/>
        </w:rPr>
        <w:t>Sedangkan faktor f</w:t>
      </w:r>
      <w:r w:rsidR="008B30D4" w:rsidRPr="004E2B6D">
        <w:rPr>
          <w:lang w:val="en-US"/>
        </w:rPr>
        <w:t xml:space="preserve">rekuensi operasi yang dialami responden menunjukkan nilai </w:t>
      </w:r>
      <w:r w:rsidR="008B30D4" w:rsidRPr="004E2B6D">
        <w:rPr>
          <w:i/>
          <w:iCs/>
          <w:lang w:val="en-US"/>
        </w:rPr>
        <w:t>p value</w:t>
      </w:r>
      <w:r w:rsidR="008B30D4" w:rsidRPr="004E2B6D">
        <w:rPr>
          <w:lang w:val="en-US"/>
        </w:rPr>
        <w:t xml:space="preserve"> sebesar 0,262 (p&gt;0,05) yang artinya tidak ada hubungan yang signifikan antara frekuensi operasi yang dialami responden dengan kecemasan pasien pre operasi.</w:t>
      </w:r>
    </w:p>
    <w:p w14:paraId="768DDC41" w14:textId="77777777" w:rsidR="004D66B8" w:rsidRPr="004E2B6D" w:rsidRDefault="004D66B8" w:rsidP="004D66B8">
      <w:pPr>
        <w:spacing w:after="0" w:line="240" w:lineRule="auto"/>
        <w:jc w:val="both"/>
        <w:rPr>
          <w:rFonts w:ascii="Times New Roman" w:hAnsi="Times New Roman" w:cs="Times New Roman"/>
          <w:b/>
          <w:bCs/>
          <w:sz w:val="24"/>
          <w:szCs w:val="24"/>
          <w:lang w:val="en-US"/>
        </w:rPr>
      </w:pPr>
    </w:p>
    <w:p w14:paraId="0B907B7B" w14:textId="77777777" w:rsidR="00A65B26" w:rsidRPr="004E2B6D" w:rsidRDefault="00A65B26" w:rsidP="004D66B8">
      <w:pPr>
        <w:spacing w:after="0" w:line="240" w:lineRule="auto"/>
        <w:jc w:val="both"/>
        <w:rPr>
          <w:rFonts w:ascii="Times New Roman" w:hAnsi="Times New Roman" w:cs="Times New Roman"/>
          <w:b/>
          <w:bCs/>
          <w:sz w:val="24"/>
          <w:szCs w:val="24"/>
          <w:lang w:val="en-US"/>
        </w:rPr>
      </w:pPr>
      <w:r w:rsidRPr="004E2B6D">
        <w:rPr>
          <w:rFonts w:ascii="Times New Roman" w:hAnsi="Times New Roman" w:cs="Times New Roman"/>
          <w:b/>
          <w:bCs/>
          <w:sz w:val="24"/>
          <w:szCs w:val="24"/>
          <w:lang w:val="en-US"/>
        </w:rPr>
        <w:t>PEMBAHASAN</w:t>
      </w:r>
    </w:p>
    <w:p w14:paraId="261A9051" w14:textId="77BEA6A3" w:rsidR="00A65B26" w:rsidRPr="004E2B6D" w:rsidRDefault="008707F7" w:rsidP="00935D74">
      <w:pPr>
        <w:spacing w:after="0" w:line="240" w:lineRule="auto"/>
        <w:jc w:val="both"/>
        <w:rPr>
          <w:rFonts w:ascii="Times New Roman" w:hAnsi="Times New Roman" w:cs="Times New Roman"/>
          <w:b/>
          <w:bCs/>
          <w:sz w:val="24"/>
          <w:szCs w:val="24"/>
        </w:rPr>
      </w:pPr>
      <w:r w:rsidRPr="004E2B6D">
        <w:rPr>
          <w:rFonts w:ascii="Times New Roman" w:hAnsi="Times New Roman" w:cs="Times New Roman"/>
          <w:b/>
          <w:bCs/>
          <w:sz w:val="24"/>
          <w:szCs w:val="24"/>
        </w:rPr>
        <w:t>Hubungan Usia Pasien dengan Kecemasan Pasien Pre Operasi</w:t>
      </w:r>
    </w:p>
    <w:p w14:paraId="4FCB80E8" w14:textId="0B4515FB" w:rsidR="003140A2" w:rsidRPr="004E2B6D" w:rsidRDefault="003031FE" w:rsidP="004D66B8">
      <w:pPr>
        <w:spacing w:after="0" w:line="240" w:lineRule="auto"/>
        <w:ind w:firstLine="567"/>
        <w:jc w:val="both"/>
        <w:rPr>
          <w:rFonts w:ascii="Times New Roman" w:hAnsi="Times New Roman" w:cs="Times New Roman"/>
          <w:sz w:val="24"/>
          <w:szCs w:val="24"/>
        </w:rPr>
      </w:pPr>
      <w:r w:rsidRPr="004E2B6D">
        <w:rPr>
          <w:rFonts w:ascii="Times New Roman" w:hAnsi="Times New Roman" w:cs="Times New Roman"/>
          <w:sz w:val="24"/>
          <w:szCs w:val="24"/>
        </w:rPr>
        <w:t xml:space="preserve">Faktor usia tidak memiliki hubungan terhadap kecemasan pasien pre operasi. Penelitian ini sejalan dengan penelitian </w:t>
      </w:r>
      <w:r w:rsidR="001978C0" w:rsidRPr="004E2B6D">
        <w:rPr>
          <w:rFonts w:ascii="Times New Roman" w:hAnsi="Times New Roman" w:cs="Times New Roman"/>
          <w:sz w:val="24"/>
          <w:szCs w:val="24"/>
        </w:rPr>
        <w:fldChar w:fldCharType="begin" w:fldLock="1"/>
      </w:r>
      <w:r w:rsidR="001978C0" w:rsidRPr="004E2B6D">
        <w:rPr>
          <w:rFonts w:ascii="Times New Roman" w:hAnsi="Times New Roman" w:cs="Times New Roman"/>
          <w:sz w:val="24"/>
          <w:szCs w:val="24"/>
        </w:rPr>
        <w:instrText>ADDIN CSL_CITATION {"citationItems":[{"id":"ITEM-1","itemData":{"abstract":"Nowadays, the world is still at the time of the COVID-19 pandemic, where cases are still increasing every day. Nurses as the front line in treating COVID-19 patients have a major role in providing direct services to patients. Therefore, nurses are at high risk of dealing with psychological conditions such as anxiety. The purpose of this study was to determine the factors that affect the level of anxiety of nurses during the COVID-19 pandemic in Manggarai regency. This research is a descriptive quantitative research with a cross sectional research design. Determination of the sample using purposive sampling technique with a sample of 70 respondents. The bivariate test using Kendall's tau-b correlation test. The results showed that there was a relationship between gender (p = 0.00), level of knowledge (p = 0.00), family status (p = 0.00) and availability of PPE (0.00) on nurses' anxiety during the COVID-19 pandemic. Conclusion of this research showed that most of the respondents experienced anxiety due to the COVID-19 pandemic in Manggarai Regency which was also caused by several factors, including increased anxiety in female nurses, inadequate PPE availability, fear of transmission to other family members, nurses' knowledge","author":[{"dropping-particle":"","family":"Danu","given":"Viktoria Kurniati","non-dropping-particle":"","parse-names":false,"suffix":""},{"dropping-particle":"","family":"Ningsih","given":"Oliva Suyen","non-dropping-particle":"","parse-names":false,"suffix":""},{"dropping-particle":"","family":"Suryati","given":"Yuliana","non-dropping-particle":"","parse-names":false,"suffix":""}],"container-title":"Jwk","id":"ITEM-1","issue":"1","issued":{"date-parts":[["2021"]]},"page":"2548-4702","title":"Faktor-Faktor Yang Mempengaruhi Kecemasan Perawat Selama Pandemi Covid-19 Di Kabupaten Manggarai","type":"article-journal","volume":"6"},"uris":["http://www.mendeley.com/documents/?uuid=091acaf4-14a4-42cf-880b-23079f8177ee"]},{"id":"ITEM-2","itemData":{"DOI":"https://doi.org/10.31869/mi.v14i2.2176","abstract":"Tingginya prevalensi tingkat kecemasan pada pasien preoperasi bedah mayor menyebabkan proses operasi menjadi tertunda bahkan dibatalkan. Penelitian ini bertujuan untuk menganalisis pengaruh faktor-faktor yang berhubungan dengan tingkat kecemasan pada pasien preoperasi bedah mayor di ruang teratai. Jenis penelitian adalah deskriptif analitik dengan rancangan “cross sectional study”. Sampel adalah pasien preoperasi bedah mayor di ruang teratai sebanyak 99 orang. Pengambilan data dilakukan dengan menggunakan angket dan wawancara terpimpin. Data dianalisis dengan menggunakan uji chi-square. Hasil penelitian menunjukkan ada hubungan antara faktor internal (pendidikan, pekerjaan, pengetahuan, pengalaman, tipe kepribadian) dan faktor eksternal (dukungan keluarga) dengan tingkat kecemasan pasien preoperasi bedah mayor. Variabel yang paling berhubungan dengan tingkat kecemasan pasien preoperasi bedah mayor adalah pengetahuan. Disarankan kepada perawat di ruang teratai melalui Rumah Sakit untuk meningkatkan pengetahuan pasien dan melakukan asuhan keperawatan yang efektif dengan menerapkan aspek pengkajian perioperatif secara komprehensif sehingga dapat mendeteksi dini adanya kecemasan.","author":[{"dropping-particle":"","family":"Sari","given":"yuli permata","non-dropping-particle":"","parse-names":false,"suffix":""},{"dropping-particle":"","family":"Riasmini","given":"ni made","non-dropping-particle":"","parse-names":false,"suffix":""},{"dropping-particle":"","family":"Guslinda","given":"","non-dropping-particle":"","parse-names":false,"suffix":""}],"container-title":"Menara Ilmu","id":"ITEM-2","issue":"02","issued":{"date-parts":[["2020"]]},"page":"133-147","title":"Analisis Faktor-faktor yang Berhubungan dengan Tingkat Kecemasan pada Pasien Preoperasi Bedah Mayor di Ruang Teratai","type":"article-journal","volume":"XIV"},"uris":["http://www.mendeley.com/documents/?uuid=ddfbfeed-ee5f-4be5-a193-7fb18eb5c506"]}],"mendeley":{"formattedCitation":"(Danu et al., 2021; Sari et al., 2020)","plainTextFormattedCitation":"(Danu et al., 2021; Sari et al., 2020)","previouslyFormattedCitation":"(Danu et al., 2021; Sari et al., 2020)"},"properties":{"noteIndex":0},"schema":"https://github.com/citation-style-language/schema/raw/master/csl-citation.json"}</w:instrText>
      </w:r>
      <w:r w:rsidR="001978C0" w:rsidRPr="004E2B6D">
        <w:rPr>
          <w:rFonts w:ascii="Times New Roman" w:hAnsi="Times New Roman" w:cs="Times New Roman"/>
          <w:sz w:val="24"/>
          <w:szCs w:val="24"/>
        </w:rPr>
        <w:fldChar w:fldCharType="separate"/>
      </w:r>
      <w:r w:rsidR="001978C0" w:rsidRPr="004E2B6D">
        <w:rPr>
          <w:rFonts w:ascii="Times New Roman" w:hAnsi="Times New Roman" w:cs="Times New Roman"/>
          <w:noProof/>
          <w:sz w:val="24"/>
          <w:szCs w:val="24"/>
        </w:rPr>
        <w:t>Sari et al., (2020)</w:t>
      </w:r>
      <w:r w:rsidR="001978C0" w:rsidRPr="004E2B6D">
        <w:rPr>
          <w:rFonts w:ascii="Times New Roman" w:hAnsi="Times New Roman" w:cs="Times New Roman"/>
          <w:sz w:val="24"/>
          <w:szCs w:val="24"/>
        </w:rPr>
        <w:fldChar w:fldCharType="end"/>
      </w:r>
      <w:r w:rsidRPr="004E2B6D">
        <w:rPr>
          <w:rFonts w:ascii="Times New Roman" w:hAnsi="Times New Roman" w:cs="Times New Roman"/>
          <w:sz w:val="24"/>
          <w:szCs w:val="24"/>
        </w:rPr>
        <w:t xml:space="preserve"> dan </w:t>
      </w:r>
      <w:r w:rsidR="001978C0" w:rsidRPr="004E2B6D">
        <w:rPr>
          <w:rFonts w:ascii="Times New Roman" w:hAnsi="Times New Roman" w:cs="Times New Roman"/>
          <w:noProof/>
          <w:sz w:val="24"/>
          <w:szCs w:val="24"/>
        </w:rPr>
        <w:t>Danu et al., (2021)</w:t>
      </w:r>
      <w:r w:rsidRPr="004E2B6D">
        <w:rPr>
          <w:rFonts w:ascii="Times New Roman" w:hAnsi="Times New Roman" w:cs="Times New Roman"/>
          <w:sz w:val="24"/>
          <w:szCs w:val="24"/>
        </w:rPr>
        <w:t xml:space="preserve"> yang </w:t>
      </w:r>
      <w:r w:rsidRPr="004E2B6D">
        <w:rPr>
          <w:rFonts w:ascii="Times New Roman" w:hAnsi="Times New Roman" w:cs="Times New Roman"/>
          <w:sz w:val="24"/>
          <w:szCs w:val="24"/>
        </w:rPr>
        <w:lastRenderedPageBreak/>
        <w:t>menunjukkan tidak adanya hubungan yang mempengaruhi kecemasan pada pasien pre operasi appendiktomi. Usia menunjukkan ukuran waktu pertumbuhan dan perkembangan individu. Usia berkorelasi dengan pengalaman, pengalaman berkorelasi dengan pengetahuan, pemahaman dan pananganan terhadap suatu penyakit atau kejadian sehingga membentuk persepsi dan sika</w:t>
      </w:r>
      <w:r w:rsidR="000E18F5" w:rsidRPr="004E2B6D">
        <w:rPr>
          <w:rFonts w:ascii="Times New Roman" w:hAnsi="Times New Roman" w:cs="Times New Roman"/>
          <w:sz w:val="24"/>
          <w:szCs w:val="24"/>
        </w:rPr>
        <w:t>p</w:t>
      </w:r>
      <w:r w:rsidRPr="004E2B6D">
        <w:rPr>
          <w:rFonts w:ascii="Times New Roman" w:hAnsi="Times New Roman" w:cs="Times New Roman"/>
          <w:sz w:val="24"/>
          <w:szCs w:val="24"/>
        </w:rPr>
        <w:t>. Kematangan dalam proses berpikir pada individu yang berusia dewasa lebih memungkinkannya menggunakan mekanisme koping yang baik dibandingkan kelompok usia remaja. Semakin bertambahnya usia maka semakin bijaksana seseorang dalam menghadapi masalah. Seseorang yang usianya lebih muda ternyata lebih mudah mengalami gangguan stress dari pada yang usia nya lebih tua</w:t>
      </w:r>
      <w:r w:rsidR="00793D5F" w:rsidRPr="004E2B6D">
        <w:rPr>
          <w:rFonts w:ascii="Times New Roman" w:hAnsi="Times New Roman" w:cs="Times New Roman"/>
          <w:sz w:val="24"/>
          <w:szCs w:val="24"/>
        </w:rPr>
        <w:t xml:space="preserve"> </w:t>
      </w:r>
      <w:r w:rsidR="00793D5F" w:rsidRPr="004E2B6D">
        <w:rPr>
          <w:rFonts w:ascii="Times New Roman" w:hAnsi="Times New Roman" w:cs="Times New Roman"/>
          <w:sz w:val="24"/>
          <w:szCs w:val="24"/>
        </w:rPr>
        <w:fldChar w:fldCharType="begin" w:fldLock="1"/>
      </w:r>
      <w:r w:rsidR="00D95B1F" w:rsidRPr="004E2B6D">
        <w:rPr>
          <w:rFonts w:ascii="Times New Roman" w:hAnsi="Times New Roman" w:cs="Times New Roman"/>
          <w:sz w:val="24"/>
          <w:szCs w:val="24"/>
        </w:rPr>
        <w:instrText>ADDIN CSL_CITATION {"citationItems":[{"id":"ITEM-1","itemData":{"abstract":"Nowadays, the world is still at the time of the COVID-19 pandemic, where cases are still increasing every day. Nurses as the front line in treating COVID-19 patients have a major role in providing direct services to patients. Therefore, nurses are at high risk of dealing with psychological conditions such as anxiety. The purpose of this study was to determine the factors that affect the level of anxiety of nurses during the COVID-19 pandemic in Manggarai regency. This research is a descriptive quantitative research with a cross sectional research design. Determination of the sample using purposive sampling technique with a sample of 70 respondents. The bivariate test using Kendall's tau-b correlation test. The results showed that there was a relationship between gender (p = 0.00), level of knowledge (p = 0.00), family status (p = 0.00) and availability of PPE (0.00) on nurses' anxiety during the COVID-19 pandemic. Conclusion of this research showed that most of the respondents experienced anxiety due to the COVID-19 pandemic in Manggarai Regency which was also caused by several factors, including increased anxiety in female nurses, inadequate PPE availability, fear of transmission to other family members, nurses' knowledge","author":[{"dropping-particle":"","family":"Danu","given":"Viktoria Kurniati","non-dropping-particle":"","parse-names":false,"suffix":""},{"dropping-particle":"","family":"Ningsih","given":"Oliva Suyen","non-dropping-particle":"","parse-names":false,"suffix":""},{"dropping-particle":"","family":"Suryati","given":"Yuliana","non-dropping-particle":"","parse-names":false,"suffix":""}],"container-title":"Jwk","id":"ITEM-1","issue":"1","issued":{"date-parts":[["2021"]]},"page":"2548-4702","title":"Faktor-Faktor Yang Mempengaruhi Kecemasan Perawat Selama Pandemi Covid-19 Di Kabupaten Manggarai","type":"article-journal","volume":"6"},"uris":["http://www.mendeley.com/documents/?uuid=091acaf4-14a4-42cf-880b-23079f8177ee"]},{"id":"ITEM-2","itemData":{"author":[{"dropping-particle":"","family":"Agustini","given":"Ni Rai Sintya","non-dropping-particle":"","parse-names":false,"suffix":""},{"dropping-particle":"","family":"Swarjana","given":"I Ketut","non-dropping-particle":"","parse-names":false,"suffix":""},{"dropping-particle":"","family":"Negara","given":"IGNM Kusuma","non-dropping-particle":"","parse-names":false,"suffix":""},{"dropping-particle":"","family":"Rahyanti","given":"Ni Made Sri","non-dropping-particle":"","parse-names":false,"suffix":""}],"container-title":"Jurnal Kesehatan","id":"ITEM-2","issue":"3","issued":{"date-parts":[["2022"]]},"page":"492-500","title":"Faktor-faktor yang Berhubungan dengan Kecemasan Menghadapi Stigma Masyarakat pada Pasien Covid-19","type":"article-journal","volume":"13"},"uris":["http://www.mendeley.com/documents/?uuid=aa739f28-5e9f-4340-8648-de78b4b90032"]}],"mendeley":{"formattedCitation":"(Agustini et al., 2022; Danu et al., 2021)","plainTextFormattedCitation":"(Agustini et al., 2022; Danu et al., 2021)","previouslyFormattedCitation":"(Agustini et al., 2022; Danu et al., 2021)"},"properties":{"noteIndex":0},"schema":"https://github.com/citation-style-language/schema/raw/master/csl-citation.json"}</w:instrText>
      </w:r>
      <w:r w:rsidR="00793D5F" w:rsidRPr="004E2B6D">
        <w:rPr>
          <w:rFonts w:ascii="Times New Roman" w:hAnsi="Times New Roman" w:cs="Times New Roman"/>
          <w:sz w:val="24"/>
          <w:szCs w:val="24"/>
        </w:rPr>
        <w:fldChar w:fldCharType="separate"/>
      </w:r>
      <w:r w:rsidR="00D95B1F" w:rsidRPr="004E2B6D">
        <w:rPr>
          <w:rFonts w:ascii="Times New Roman" w:hAnsi="Times New Roman" w:cs="Times New Roman"/>
          <w:noProof/>
          <w:sz w:val="24"/>
          <w:szCs w:val="24"/>
        </w:rPr>
        <w:t>(Agustini et al., 2022; Danu et al., 2021)</w:t>
      </w:r>
      <w:r w:rsidR="00793D5F" w:rsidRPr="004E2B6D">
        <w:rPr>
          <w:rFonts w:ascii="Times New Roman" w:hAnsi="Times New Roman" w:cs="Times New Roman"/>
          <w:sz w:val="24"/>
          <w:szCs w:val="24"/>
        </w:rPr>
        <w:fldChar w:fldCharType="end"/>
      </w:r>
      <w:r w:rsidRPr="004E2B6D">
        <w:rPr>
          <w:rFonts w:ascii="Times New Roman" w:hAnsi="Times New Roman" w:cs="Times New Roman"/>
          <w:sz w:val="24"/>
          <w:szCs w:val="24"/>
        </w:rPr>
        <w:t xml:space="preserve">. </w:t>
      </w:r>
    </w:p>
    <w:p w14:paraId="0AEA0349" w14:textId="36C1A2AB" w:rsidR="003031FE" w:rsidRPr="004E2B6D" w:rsidRDefault="003031FE" w:rsidP="004D66B8">
      <w:pPr>
        <w:spacing w:after="0" w:line="240" w:lineRule="auto"/>
        <w:ind w:firstLine="567"/>
        <w:jc w:val="both"/>
        <w:rPr>
          <w:rFonts w:ascii="Times New Roman" w:hAnsi="Times New Roman" w:cs="Times New Roman"/>
          <w:sz w:val="24"/>
          <w:szCs w:val="24"/>
        </w:rPr>
      </w:pPr>
      <w:r w:rsidRPr="004E2B6D">
        <w:rPr>
          <w:rFonts w:ascii="Times New Roman" w:hAnsi="Times New Roman" w:cs="Times New Roman"/>
          <w:sz w:val="24"/>
          <w:szCs w:val="24"/>
        </w:rPr>
        <w:t>Emosi pada usia muda masih agak sulit untuk dikendalikan yang menyebabkan penerimaan terhadap lingkungan rumah sakit dan penyakitnya masih kurang, apalagi tindakan operasi dengan pengalaman pertama sehingga mudah emosi dan mengalami kecemasan yang tinggi. Maka dikatakan semakin bertambah muda usia seseorang maka kesiapan terhadap tindakan operasi juga berkurang.Sebaliknya semakin tua usia seseorang semakin lebih percaya diri dan siap menghadapi operasi.</w:t>
      </w:r>
      <w:r w:rsidR="003140A2" w:rsidRPr="004E2B6D">
        <w:rPr>
          <w:rFonts w:ascii="Times New Roman" w:hAnsi="Times New Roman" w:cs="Times New Roman"/>
          <w:sz w:val="24"/>
          <w:szCs w:val="24"/>
        </w:rPr>
        <w:t xml:space="preserve"> Analisis peneliti mengenai faktor usia responden terhadap kecemasan diakibatkan oleh ketakutan responden terhadap tindakan operasi sehingga diperlukan adanya intervensi sebelum tindakan operasi untuk mengurangi tingkat kecemasan pasien.</w:t>
      </w:r>
    </w:p>
    <w:p w14:paraId="3D8A5A1B" w14:textId="77777777" w:rsidR="008A4F3A" w:rsidRPr="004E2B6D" w:rsidRDefault="008A4F3A" w:rsidP="00935D74">
      <w:pPr>
        <w:spacing w:after="0" w:line="240" w:lineRule="auto"/>
        <w:ind w:firstLine="426"/>
        <w:jc w:val="both"/>
        <w:rPr>
          <w:rFonts w:ascii="Times New Roman" w:hAnsi="Times New Roman" w:cs="Times New Roman"/>
          <w:b/>
          <w:bCs/>
          <w:sz w:val="24"/>
          <w:szCs w:val="24"/>
        </w:rPr>
      </w:pPr>
    </w:p>
    <w:p w14:paraId="32839662" w14:textId="6E340C96" w:rsidR="008707F7" w:rsidRPr="004E2B6D" w:rsidRDefault="008707F7" w:rsidP="00935D74">
      <w:pPr>
        <w:spacing w:after="0" w:line="240" w:lineRule="auto"/>
        <w:jc w:val="both"/>
        <w:rPr>
          <w:rFonts w:ascii="Times New Roman" w:hAnsi="Times New Roman" w:cs="Times New Roman"/>
          <w:b/>
          <w:bCs/>
          <w:sz w:val="24"/>
          <w:szCs w:val="24"/>
        </w:rPr>
      </w:pPr>
      <w:r w:rsidRPr="004E2B6D">
        <w:rPr>
          <w:rFonts w:ascii="Times New Roman" w:hAnsi="Times New Roman" w:cs="Times New Roman"/>
          <w:b/>
          <w:bCs/>
          <w:sz w:val="24"/>
          <w:szCs w:val="24"/>
        </w:rPr>
        <w:t>Hubungan Jenis Kelamin Pasien dengan Kecemasan Pasien Pre Operasi</w:t>
      </w:r>
    </w:p>
    <w:p w14:paraId="216A8D3A" w14:textId="716A6E81" w:rsidR="00B83A3A" w:rsidRPr="004E2B6D" w:rsidRDefault="003140A2" w:rsidP="004D66B8">
      <w:pPr>
        <w:spacing w:after="0" w:line="240" w:lineRule="auto"/>
        <w:ind w:firstLine="567"/>
        <w:jc w:val="both"/>
        <w:rPr>
          <w:rFonts w:ascii="Times New Roman" w:hAnsi="Times New Roman" w:cs="Times New Roman"/>
          <w:sz w:val="24"/>
          <w:szCs w:val="24"/>
        </w:rPr>
      </w:pPr>
      <w:r w:rsidRPr="004E2B6D">
        <w:rPr>
          <w:rFonts w:ascii="Times New Roman" w:hAnsi="Times New Roman" w:cs="Times New Roman"/>
          <w:sz w:val="24"/>
          <w:szCs w:val="24"/>
        </w:rPr>
        <w:t xml:space="preserve">Faktor jenis kelamin tidak memiliki hubungan terhadap kecemasan pasien pre operasi. </w:t>
      </w:r>
      <w:r w:rsidR="001978C0" w:rsidRPr="004E2B6D">
        <w:rPr>
          <w:rFonts w:ascii="Times New Roman" w:hAnsi="Times New Roman" w:cs="Times New Roman"/>
          <w:sz w:val="24"/>
          <w:szCs w:val="24"/>
        </w:rPr>
        <w:t xml:space="preserve">Penelitian </w:t>
      </w:r>
      <w:r w:rsidRPr="004E2B6D">
        <w:rPr>
          <w:rFonts w:ascii="Times New Roman" w:hAnsi="Times New Roman" w:cs="Times New Roman"/>
          <w:sz w:val="24"/>
          <w:szCs w:val="24"/>
        </w:rPr>
        <w:t xml:space="preserve">ini sejalan dengan </w:t>
      </w:r>
      <w:r w:rsidR="001978C0" w:rsidRPr="004E2B6D">
        <w:rPr>
          <w:rFonts w:ascii="Times New Roman" w:hAnsi="Times New Roman" w:cs="Times New Roman"/>
          <w:sz w:val="24"/>
          <w:szCs w:val="24"/>
        </w:rPr>
        <w:fldChar w:fldCharType="begin" w:fldLock="1"/>
      </w:r>
      <w:r w:rsidR="001978C0" w:rsidRPr="004E2B6D">
        <w:rPr>
          <w:rFonts w:ascii="Times New Roman" w:hAnsi="Times New Roman" w:cs="Times New Roman"/>
          <w:sz w:val="24"/>
          <w:szCs w:val="24"/>
        </w:rPr>
        <w:instrText>ADDIN CSL_CITATION {"citationItems":[{"id":"ITEM-1","itemData":{"DOI":"https://doi.org/10.31869/mi.v14i2.2176","abstract":"Tingginya prevalensi tingkat kecemasan pada pasien preoperasi bedah mayor menyebabkan proses operasi menjadi tertunda bahkan dibatalkan. Penelitian ini bertujuan untuk menganalisis pengaruh faktor-faktor yang berhubungan dengan tingkat kecemasan pada pasien preoperasi bedah mayor di ruang teratai. Jenis penelitian adalah deskriptif analitik dengan rancangan “cross sectional study”. Sampel adalah pasien preoperasi bedah mayor di ruang teratai sebanyak 99 orang. Pengambilan data dilakukan dengan menggunakan angket dan wawancara terpimpin. Data dianalisis dengan menggunakan uji chi-square. Hasil penelitian menunjukkan ada hubungan antara faktor internal (pendidikan, pekerjaan, pengetahuan, pengalaman, tipe kepribadian) dan faktor eksternal (dukungan keluarga) dengan tingkat kecemasan pasien preoperasi bedah mayor. Variabel yang paling berhubungan dengan tingkat kecemasan pasien preoperasi bedah mayor adalah pengetahuan. Disarankan kepada perawat di ruang teratai melalui Rumah Sakit untuk meningkatkan pengetahuan pasien dan melakukan asuhan keperawatan yang efektif dengan menerapkan aspek pengkajian perioperatif secara komprehensif sehingga dapat mendeteksi dini adanya kecemasan.","author":[{"dropping-particle":"","family":"Sari","given":"yuli permata","non-dropping-particle":"","parse-names":false,"suffix":""},{"dropping-particle":"","family":"Riasmini","given":"ni made","non-dropping-particle":"","parse-names":false,"suffix":""},{"dropping-particle":"","family":"Guslinda","given":"","non-dropping-particle":"","parse-names":false,"suffix":""}],"container-title":"Menara Ilmu","id":"ITEM-1","issue":"02","issued":{"date-parts":[["2020"]]},"page":"133-147","title":"Analisis Faktor-faktor yang Berhubungan dengan Tingkat Kecemasan pada Pasien Preoperasi Bedah Mayor di Ruang Teratai","type":"article-journal","volume":"XIV"},"uris":["http://www.mendeley.com/documents/?uuid=ddfbfeed-ee5f-4be5-a193-7fb18eb5c506"]}],"mendeley":{"formattedCitation":"(Sari et al., 2020)","plainTextFormattedCitation":"(Sari et al., 2020)","previouslyFormattedCitation":"(Sari et al., 2020)"},"properties":{"noteIndex":0},"schema":"https://github.com/citation-style-language/schema/raw/master/csl-citation.json"}</w:instrText>
      </w:r>
      <w:r w:rsidR="001978C0" w:rsidRPr="004E2B6D">
        <w:rPr>
          <w:rFonts w:ascii="Times New Roman" w:hAnsi="Times New Roman" w:cs="Times New Roman"/>
          <w:sz w:val="24"/>
          <w:szCs w:val="24"/>
        </w:rPr>
        <w:fldChar w:fldCharType="separate"/>
      </w:r>
      <w:r w:rsidR="001978C0" w:rsidRPr="004E2B6D">
        <w:rPr>
          <w:rFonts w:ascii="Times New Roman" w:hAnsi="Times New Roman" w:cs="Times New Roman"/>
          <w:noProof/>
          <w:sz w:val="24"/>
          <w:szCs w:val="24"/>
        </w:rPr>
        <w:t>Sari et al., (2020)</w:t>
      </w:r>
      <w:r w:rsidR="001978C0" w:rsidRPr="004E2B6D">
        <w:rPr>
          <w:rFonts w:ascii="Times New Roman" w:hAnsi="Times New Roman" w:cs="Times New Roman"/>
          <w:sz w:val="24"/>
          <w:szCs w:val="24"/>
        </w:rPr>
        <w:fldChar w:fldCharType="end"/>
      </w:r>
      <w:r w:rsidRPr="004E2B6D">
        <w:rPr>
          <w:rFonts w:ascii="Times New Roman" w:hAnsi="Times New Roman" w:cs="Times New Roman"/>
          <w:sz w:val="24"/>
          <w:szCs w:val="24"/>
        </w:rPr>
        <w:t xml:space="preserve"> yang menunjukkan tidak adanya hubungan antara jenis kelamin responden terhadap kecemasan pasien pre operasi. Jenis kelamin adalah perbedaan biologis dan fisiologis yang dapat membedakan laki-laki dan perempuan. Laki-laki dan perempuan adalah kategori jenis kelamin. Sementara maskulin dan feminim adalah kategori-kategori gender. </w:t>
      </w:r>
      <w:r w:rsidR="00426B77" w:rsidRPr="004E2B6D">
        <w:rPr>
          <w:rFonts w:ascii="Times New Roman" w:hAnsi="Times New Roman" w:cs="Times New Roman"/>
          <w:sz w:val="24"/>
          <w:szCs w:val="24"/>
        </w:rPr>
        <w:t xml:space="preserve">Kecemasan </w:t>
      </w:r>
      <w:r w:rsidRPr="004E2B6D">
        <w:rPr>
          <w:rFonts w:ascii="Times New Roman" w:hAnsi="Times New Roman" w:cs="Times New Roman"/>
          <w:sz w:val="24"/>
          <w:szCs w:val="24"/>
        </w:rPr>
        <w:t>lebih umum terjadi pada perempuan daripada laki-laki dan pada pasien dengan riwayat keluarga yang mengalami kecemasan. Hal ini terjadi karena faktor emosional dan lingkungan dimana tingkat emosional antara laki-laki dan perempuan berbeda.</w:t>
      </w:r>
      <w:r w:rsidR="001F4789" w:rsidRPr="004E2B6D">
        <w:rPr>
          <w:rFonts w:ascii="Times New Roman" w:hAnsi="Times New Roman" w:cs="Times New Roman"/>
          <w:sz w:val="24"/>
          <w:szCs w:val="24"/>
        </w:rPr>
        <w:t xml:space="preserve"> </w:t>
      </w:r>
      <w:r w:rsidRPr="004E2B6D">
        <w:rPr>
          <w:rFonts w:ascii="Times New Roman" w:hAnsi="Times New Roman" w:cs="Times New Roman"/>
          <w:sz w:val="24"/>
          <w:szCs w:val="24"/>
        </w:rPr>
        <w:t>Namun masalah yang dialami pasien perempuan yang mengalami kecemasan dapat diatasi dengan memberikan motivasi dan dukungan psikososial.</w:t>
      </w:r>
    </w:p>
    <w:p w14:paraId="5DD3CCF4" w14:textId="37078DA2" w:rsidR="00B83A3A" w:rsidRPr="004E2B6D" w:rsidRDefault="00D95B1F" w:rsidP="004D66B8">
      <w:pPr>
        <w:spacing w:after="0" w:line="240" w:lineRule="auto"/>
        <w:ind w:firstLine="567"/>
        <w:jc w:val="both"/>
        <w:rPr>
          <w:rFonts w:ascii="Times New Roman" w:hAnsi="Times New Roman" w:cs="Times New Roman"/>
          <w:sz w:val="24"/>
          <w:szCs w:val="24"/>
        </w:rPr>
      </w:pPr>
      <w:r w:rsidRPr="004E2B6D">
        <w:rPr>
          <w:rFonts w:ascii="Times New Roman" w:hAnsi="Times New Roman" w:cs="Times New Roman"/>
          <w:sz w:val="24"/>
          <w:szCs w:val="24"/>
        </w:rPr>
        <w:t xml:space="preserve">Penelitian ini tidak sejalan dengan penelitian </w:t>
      </w:r>
      <w:r w:rsidR="00426B77" w:rsidRPr="004E2B6D">
        <w:rPr>
          <w:rFonts w:ascii="Times New Roman" w:hAnsi="Times New Roman" w:cs="Times New Roman"/>
          <w:sz w:val="24"/>
          <w:szCs w:val="24"/>
        </w:rPr>
        <w:fldChar w:fldCharType="begin" w:fldLock="1"/>
      </w:r>
      <w:r w:rsidR="00426B77" w:rsidRPr="004E2B6D">
        <w:rPr>
          <w:rFonts w:ascii="Times New Roman" w:hAnsi="Times New Roman" w:cs="Times New Roman"/>
          <w:sz w:val="24"/>
          <w:szCs w:val="24"/>
        </w:rPr>
        <w:instrText>ADDIN CSL_CITATION {"citationItems":[{"id":"ITEM-1","itemData":{"DOI":"10.35790/jkp.v10i1.38850","ISSN":"2302-1349","abstract":"Background: The conditions that occurred during the COVID-19 pandemic had a psychological effect on the community, such as high anxiety which could make the body's immune system decrease. Aim: to identify the factors related to the anxiety level during covid-19 pandemic in Tirtajaya village, Sukmajaya sub-district, Depok City. Methods: cross sectional study was conducted and anlayzed by using chi-square to identify the relationship between variables. There were 70 respondents through purposive sampling, Self- Rating Anxiety Scale (SRAS) was used as an instrument in the study. Results: showed that there was a relationship between age (p-value =0.020), gender (p-value= 0.029), education level (p-value= 0.029), employment status (pvalue = 0.004). and the environment (p-value =0.015) with the level of anxiety during the COVID-19 pandemic. Conclusion: In this study, women in the age group of 17-25 years, the last education level is senior high school, not working, and being in an unhealthy environment were more dominant in experiencing anxiety.Keywords: Anxiety; COVID-19; Psychological effects","author":[{"dropping-particle":"","family":"Fortuna","given":"Aliefia Dinda","non-dropping-particle":"","parse-names":false,"suffix":""},{"dropping-particle":"","family":"Saputri","given":"Milla Evelianti","non-dropping-particle":"","parse-names":false,"suffix":""},{"dropping-particle":"","family":"Wowor","given":"Tommy Jemmy Farancius","non-dropping-particle":"","parse-names":false,"suffix":""}],"container-title":"Jurnal Keperawatan","id":"ITEM-1","issue":"1","issued":{"date-parts":[["2022"]]},"page":"34","title":"Faktor – Faktor Yang Berhubungan Dengan Tingkat Kecemasan Warga Pada Masa Pandemi Covid-19 Tahun 2021 Di Kecamatan Sukmajaya Kota Depok","type":"article-journal","volume":"10"},"uris":["http://www.mendeley.com/documents/?uuid=925c6bc1-44d5-4cf2-8842-8fd89567f7fd"]}],"mendeley":{"formattedCitation":"(Fortuna et al., 2022)","plainTextFormattedCitation":"(Fortuna et al., 2022)","previouslyFormattedCitation":"(Fortuna et al., 2022)"},"properties":{"noteIndex":0},"schema":"https://github.com/citation-style-language/schema/raw/master/csl-citation.json"}</w:instrText>
      </w:r>
      <w:r w:rsidR="00426B77" w:rsidRPr="004E2B6D">
        <w:rPr>
          <w:rFonts w:ascii="Times New Roman" w:hAnsi="Times New Roman" w:cs="Times New Roman"/>
          <w:sz w:val="24"/>
          <w:szCs w:val="24"/>
        </w:rPr>
        <w:fldChar w:fldCharType="separate"/>
      </w:r>
      <w:r w:rsidR="00426B77" w:rsidRPr="004E2B6D">
        <w:rPr>
          <w:rFonts w:ascii="Times New Roman" w:hAnsi="Times New Roman" w:cs="Times New Roman"/>
          <w:noProof/>
          <w:sz w:val="24"/>
          <w:szCs w:val="24"/>
        </w:rPr>
        <w:t>Fortuna et al., (2022)</w:t>
      </w:r>
      <w:r w:rsidR="00426B77" w:rsidRPr="004E2B6D">
        <w:rPr>
          <w:rFonts w:ascii="Times New Roman" w:hAnsi="Times New Roman" w:cs="Times New Roman"/>
          <w:sz w:val="24"/>
          <w:szCs w:val="24"/>
        </w:rPr>
        <w:fldChar w:fldCharType="end"/>
      </w:r>
      <w:r w:rsidRPr="004E2B6D">
        <w:rPr>
          <w:rFonts w:ascii="Times New Roman" w:hAnsi="Times New Roman" w:cs="Times New Roman"/>
          <w:sz w:val="24"/>
          <w:szCs w:val="24"/>
        </w:rPr>
        <w:t xml:space="preserve"> menunjukkan adanya hubungan yang signifikan antara jenis kelamin dengan tingkat kecemasan. Laki-laki lebih aktif dan eksploratif dalam merespon kecemasannya, sedangkan wanita lebih sensitif dan memilih memendam semua perasaannya. Hal itu terjadi karena seorang wanita terlalu peka dengan emosinya sehingga dapat menyebabkan sebuah kecemasan. </w:t>
      </w:r>
      <w:r w:rsidR="003140A2" w:rsidRPr="004E2B6D">
        <w:rPr>
          <w:rFonts w:ascii="Times New Roman" w:hAnsi="Times New Roman" w:cs="Times New Roman"/>
          <w:sz w:val="24"/>
          <w:szCs w:val="24"/>
        </w:rPr>
        <w:t xml:space="preserve">Analisis peneliti pada faktor jenis kelamin pada penelitian ini menunjukkan </w:t>
      </w:r>
      <w:r w:rsidR="00CF02F7" w:rsidRPr="004E2B6D">
        <w:rPr>
          <w:rFonts w:ascii="Times New Roman" w:hAnsi="Times New Roman" w:cs="Times New Roman"/>
          <w:sz w:val="24"/>
          <w:szCs w:val="24"/>
        </w:rPr>
        <w:t>pasien</w:t>
      </w:r>
      <w:r w:rsidR="003140A2" w:rsidRPr="004E2B6D">
        <w:rPr>
          <w:rFonts w:ascii="Times New Roman" w:hAnsi="Times New Roman" w:cs="Times New Roman"/>
          <w:sz w:val="24"/>
          <w:szCs w:val="24"/>
        </w:rPr>
        <w:t xml:space="preserve"> yang berjenis kelamin perempuan mengalami tingkat kecemasan berat disbanding dengan </w:t>
      </w:r>
      <w:r w:rsidR="00CF02F7" w:rsidRPr="004E2B6D">
        <w:rPr>
          <w:rFonts w:ascii="Times New Roman" w:hAnsi="Times New Roman" w:cs="Times New Roman"/>
          <w:sz w:val="24"/>
          <w:szCs w:val="24"/>
        </w:rPr>
        <w:t>pasien</w:t>
      </w:r>
      <w:r w:rsidR="003140A2" w:rsidRPr="004E2B6D">
        <w:rPr>
          <w:rFonts w:ascii="Times New Roman" w:hAnsi="Times New Roman" w:cs="Times New Roman"/>
          <w:sz w:val="24"/>
          <w:szCs w:val="24"/>
        </w:rPr>
        <w:t xml:space="preserve"> yang berjenis kelamin laki-laki. Hal tersebut dikarenakan </w:t>
      </w:r>
      <w:r w:rsidR="00CF02F7" w:rsidRPr="004E2B6D">
        <w:rPr>
          <w:rFonts w:ascii="Times New Roman" w:hAnsi="Times New Roman" w:cs="Times New Roman"/>
          <w:sz w:val="24"/>
          <w:szCs w:val="24"/>
        </w:rPr>
        <w:t>pasien</w:t>
      </w:r>
      <w:r w:rsidR="003140A2" w:rsidRPr="004E2B6D">
        <w:rPr>
          <w:rFonts w:ascii="Times New Roman" w:hAnsi="Times New Roman" w:cs="Times New Roman"/>
          <w:sz w:val="24"/>
          <w:szCs w:val="24"/>
        </w:rPr>
        <w:t xml:space="preserve"> berjenis kelamin perempan lebih sensitif secara emosional dalam menghadapi segala sesuatu termasuk respon emosional terhadap tindakan operasi.</w:t>
      </w:r>
    </w:p>
    <w:p w14:paraId="6CD80841" w14:textId="77777777" w:rsidR="008A4F3A" w:rsidRPr="004E2B6D" w:rsidRDefault="008A4F3A" w:rsidP="004D66B8">
      <w:pPr>
        <w:spacing w:after="0" w:line="240" w:lineRule="auto"/>
        <w:ind w:firstLine="567"/>
        <w:jc w:val="both"/>
        <w:rPr>
          <w:rFonts w:ascii="Times New Roman" w:hAnsi="Times New Roman" w:cs="Times New Roman"/>
          <w:sz w:val="24"/>
          <w:szCs w:val="24"/>
        </w:rPr>
      </w:pPr>
    </w:p>
    <w:p w14:paraId="7EADD15A" w14:textId="37F38AD6" w:rsidR="008707F7" w:rsidRPr="004E2B6D" w:rsidRDefault="008707F7" w:rsidP="00935D74">
      <w:pPr>
        <w:spacing w:after="0" w:line="240" w:lineRule="auto"/>
        <w:jc w:val="both"/>
        <w:rPr>
          <w:rFonts w:ascii="Times New Roman" w:hAnsi="Times New Roman" w:cs="Times New Roman"/>
          <w:b/>
          <w:bCs/>
          <w:sz w:val="24"/>
          <w:szCs w:val="24"/>
        </w:rPr>
      </w:pPr>
      <w:r w:rsidRPr="004E2B6D">
        <w:rPr>
          <w:rFonts w:ascii="Times New Roman" w:hAnsi="Times New Roman" w:cs="Times New Roman"/>
          <w:b/>
          <w:bCs/>
          <w:sz w:val="24"/>
          <w:szCs w:val="24"/>
        </w:rPr>
        <w:t>Hubungan Pendidikan Pasien dengan Kecemasan Pasien Pre Operasi</w:t>
      </w:r>
    </w:p>
    <w:p w14:paraId="146890B5" w14:textId="12DC7750" w:rsidR="00F42F33" w:rsidRPr="004E2B6D" w:rsidRDefault="00CF02F7" w:rsidP="004D66B8">
      <w:pPr>
        <w:spacing w:after="0" w:line="240" w:lineRule="auto"/>
        <w:ind w:firstLine="567"/>
        <w:jc w:val="both"/>
        <w:rPr>
          <w:rFonts w:ascii="Times New Roman" w:hAnsi="Times New Roman" w:cs="Times New Roman"/>
          <w:sz w:val="24"/>
          <w:szCs w:val="24"/>
        </w:rPr>
      </w:pPr>
      <w:r w:rsidRPr="004E2B6D">
        <w:rPr>
          <w:rFonts w:ascii="Times New Roman" w:hAnsi="Times New Roman" w:cs="Times New Roman"/>
          <w:sz w:val="24"/>
          <w:szCs w:val="24"/>
        </w:rPr>
        <w:t xml:space="preserve">Faktor tingkat pendidikan pasien tidak berhubungan dengan kecemasan pada pasien pre operasi. </w:t>
      </w:r>
      <w:r w:rsidR="00FF11A8" w:rsidRPr="004E2B6D">
        <w:rPr>
          <w:rFonts w:ascii="Times New Roman" w:hAnsi="Times New Roman" w:cs="Times New Roman"/>
          <w:sz w:val="24"/>
          <w:szCs w:val="24"/>
        </w:rPr>
        <w:t xml:space="preserve">Penelitian ini tidak sejalan dengan penelitian </w:t>
      </w:r>
      <w:r w:rsidR="00426B77" w:rsidRPr="004E2B6D">
        <w:rPr>
          <w:rFonts w:ascii="Times New Roman" w:hAnsi="Times New Roman" w:cs="Times New Roman"/>
          <w:sz w:val="24"/>
          <w:szCs w:val="24"/>
        </w:rPr>
        <w:fldChar w:fldCharType="begin" w:fldLock="1"/>
      </w:r>
      <w:r w:rsidR="00426B77" w:rsidRPr="004E2B6D">
        <w:rPr>
          <w:rFonts w:ascii="Times New Roman" w:hAnsi="Times New Roman" w:cs="Times New Roman"/>
          <w:sz w:val="24"/>
          <w:szCs w:val="24"/>
        </w:rPr>
        <w:instrText>ADDIN CSL_CITATION {"citationItems":[{"id":"ITEM-1","itemData":{"abstract":"… (2015). Job Stres, Recognition, Job Performance and Intention to Stay at Work Among Jordanian Hospital Nurses … Pengaruh Stress Kerja Terhadap Prestasi Kerja dan Identifikasi Manajemen Stress yang Digunakan di Ruang Rawat Inap RSUD Ulin Banjarmasin …","author":[{"dropping-particle":"","family":"Awaluddin","given":"","non-dropping-particle":"","parse-names":false,"suffix":""}],"container-title":"Jurnal Kesehatan Luwu Raya","id":"ITEM-1","issue":"2","issued":{"date-parts":[["2020"]]},"page":"5-12","title":"Hubungan Pendidikan Dan Lama Kerja Dengan Tingkat Kecemasan Perawat Dalam Penanganan Pasien Gawat Darurat Di RSUD Sawerigading Kota Palopo Tahun 2019","type":"article-journal","volume":"6"},"uris":["http://www.mendeley.com/documents/?uuid=5d8db5ac-9ff7-4df2-bbab-da5b47908b66"]}],"mendeley":{"formattedCitation":"(Awaluddin, 2020)","plainTextFormattedCitation":"(Awaluddin, 2020)","previouslyFormattedCitation":"(Awaluddin, 2020)"},"properties":{"noteIndex":0},"schema":"https://github.com/citation-style-language/schema/raw/master/csl-citation.json"}</w:instrText>
      </w:r>
      <w:r w:rsidR="00426B77" w:rsidRPr="004E2B6D">
        <w:rPr>
          <w:rFonts w:ascii="Times New Roman" w:hAnsi="Times New Roman" w:cs="Times New Roman"/>
          <w:sz w:val="24"/>
          <w:szCs w:val="24"/>
        </w:rPr>
        <w:fldChar w:fldCharType="separate"/>
      </w:r>
      <w:r w:rsidR="00426B77" w:rsidRPr="004E2B6D">
        <w:rPr>
          <w:rFonts w:ascii="Times New Roman" w:hAnsi="Times New Roman" w:cs="Times New Roman"/>
          <w:noProof/>
          <w:sz w:val="24"/>
          <w:szCs w:val="24"/>
        </w:rPr>
        <w:t>Awaluddin (2020)</w:t>
      </w:r>
      <w:r w:rsidR="00426B77" w:rsidRPr="004E2B6D">
        <w:rPr>
          <w:rFonts w:ascii="Times New Roman" w:hAnsi="Times New Roman" w:cs="Times New Roman"/>
          <w:sz w:val="24"/>
          <w:szCs w:val="24"/>
        </w:rPr>
        <w:fldChar w:fldCharType="end"/>
      </w:r>
      <w:r w:rsidR="00793D5F" w:rsidRPr="004E2B6D">
        <w:rPr>
          <w:rFonts w:ascii="Times New Roman" w:hAnsi="Times New Roman" w:cs="Times New Roman"/>
          <w:sz w:val="24"/>
          <w:szCs w:val="24"/>
        </w:rPr>
        <w:t xml:space="preserve"> </w:t>
      </w:r>
      <w:r w:rsidR="00042A6A" w:rsidRPr="004E2B6D">
        <w:rPr>
          <w:rFonts w:ascii="Times New Roman" w:hAnsi="Times New Roman" w:cs="Times New Roman"/>
          <w:sz w:val="24"/>
          <w:szCs w:val="24"/>
        </w:rPr>
        <w:t>yang menunjukkan adanya hubungan yang signifikan antara pendidikan dengan kecemasan pasien fraktur pre operasi di rawat inap</w:t>
      </w:r>
      <w:r w:rsidR="00793D5F" w:rsidRPr="004E2B6D">
        <w:rPr>
          <w:rFonts w:ascii="Times New Roman" w:hAnsi="Times New Roman" w:cs="Times New Roman"/>
          <w:sz w:val="24"/>
          <w:szCs w:val="24"/>
        </w:rPr>
        <w:t xml:space="preserve">. </w:t>
      </w:r>
      <w:r w:rsidR="00FF11A8" w:rsidRPr="004E2B6D">
        <w:rPr>
          <w:rFonts w:ascii="Times New Roman" w:hAnsi="Times New Roman" w:cs="Times New Roman"/>
          <w:sz w:val="24"/>
          <w:szCs w:val="24"/>
        </w:rPr>
        <w:t xml:space="preserve">Status pendidikan yang rendah pada </w:t>
      </w:r>
      <w:r w:rsidR="00FF11A8" w:rsidRPr="004E2B6D">
        <w:rPr>
          <w:rFonts w:ascii="Times New Roman" w:hAnsi="Times New Roman" w:cs="Times New Roman"/>
          <w:sz w:val="24"/>
          <w:szCs w:val="24"/>
        </w:rPr>
        <w:lastRenderedPageBreak/>
        <w:t>seseorang akan menyebabkan orang tersebut lebih mudah mengalami kecemasan dan stress dibanding</w:t>
      </w:r>
      <w:r w:rsidR="00426B77" w:rsidRPr="004E2B6D">
        <w:rPr>
          <w:rFonts w:ascii="Times New Roman" w:hAnsi="Times New Roman" w:cs="Times New Roman"/>
          <w:sz w:val="24"/>
          <w:szCs w:val="24"/>
        </w:rPr>
        <w:t>kan</w:t>
      </w:r>
      <w:r w:rsidR="00FF11A8" w:rsidRPr="004E2B6D">
        <w:rPr>
          <w:rFonts w:ascii="Times New Roman" w:hAnsi="Times New Roman" w:cs="Times New Roman"/>
          <w:sz w:val="24"/>
          <w:szCs w:val="24"/>
        </w:rPr>
        <w:t xml:space="preserve"> dengan mereka yang status pendidikannya lebih tinggi atau baik</w:t>
      </w:r>
      <w:r w:rsidR="00426B77" w:rsidRPr="004E2B6D">
        <w:rPr>
          <w:rFonts w:ascii="Times New Roman" w:hAnsi="Times New Roman" w:cs="Times New Roman"/>
          <w:sz w:val="24"/>
          <w:szCs w:val="24"/>
        </w:rPr>
        <w:t>,</w:t>
      </w:r>
      <w:r w:rsidR="00FF11A8" w:rsidRPr="004E2B6D">
        <w:rPr>
          <w:rFonts w:ascii="Times New Roman" w:hAnsi="Times New Roman" w:cs="Times New Roman"/>
          <w:sz w:val="24"/>
          <w:szCs w:val="24"/>
        </w:rPr>
        <w:t xml:space="preserve"> maka ia akan mudah menerima dan menyesuaikan hal-hal yang baru seperti pembedahan mayor. Peneliti menganalisis, pendidikan pasien pre operasi berkaitan erat dengan pengetahuan yang dimiliki oleh seseorang dimana kecemasan yang dialami oleh pasien preoperasi bedah mayor lebih banyak dialami oleh pasien yang berpendidikan rendah yaitu tingkat pendidikan SD dan SMP.</w:t>
      </w:r>
      <w:r w:rsidR="00426B77" w:rsidRPr="004E2B6D">
        <w:rPr>
          <w:rFonts w:ascii="Times New Roman" w:hAnsi="Times New Roman" w:cs="Times New Roman"/>
          <w:sz w:val="24"/>
          <w:szCs w:val="24"/>
        </w:rPr>
        <w:t xml:space="preserve"> </w:t>
      </w:r>
      <w:r w:rsidR="00FF11A8" w:rsidRPr="004E2B6D">
        <w:rPr>
          <w:rFonts w:ascii="Times New Roman" w:hAnsi="Times New Roman" w:cs="Times New Roman"/>
          <w:sz w:val="24"/>
          <w:szCs w:val="24"/>
        </w:rPr>
        <w:t>Pengetahuan atau pemahaman pasien tentang jenis, persiapan, tujuan dan komplikasi dari operasi tersebut masih kurang sehingga mekanisme koping yang dimiliki kurang efektif dari pada pasien yang pendidikannya tinggi. Sebaliknya pasien yang pendidikannya SMA dan Sarjana sebagai responden dalam penelitian ini mampu memahami dan menganalisa tentang segala informasi yang diberikan sehingga memiliki tingkat pemahaman yang baik atau memiliki mekanisme koping yang lebih baik. Semakin tinggi pendidikan seseorang maka semakin mudah seseorang menerima informasi sehingga semakin banyak pula pengetahuan yang dimiliki oleh pasien. Pendidikan yang baik akan mengubah sikap dan tingkah laku pasien dalam usaha mendewasakan diri melalui upaya pengajaran dan pelatihan. Perawat perlu memberikan pendidikan kesehatan berupa konseling dan penyuluhan kesehatan tentang operasi bedah mayor dan persiapan psikologis preoperasi</w:t>
      </w:r>
      <w:r w:rsidR="004D66B8" w:rsidRPr="004E2B6D">
        <w:rPr>
          <w:rFonts w:ascii="Times New Roman" w:hAnsi="Times New Roman" w:cs="Times New Roman"/>
          <w:sz w:val="24"/>
          <w:szCs w:val="24"/>
        </w:rPr>
        <w:t>.</w:t>
      </w:r>
      <w:r w:rsidR="00793D5F" w:rsidRPr="004E2B6D">
        <w:rPr>
          <w:rFonts w:ascii="Times New Roman" w:hAnsi="Times New Roman" w:cs="Times New Roman"/>
          <w:sz w:val="24"/>
          <w:szCs w:val="24"/>
        </w:rPr>
        <w:t xml:space="preserve"> </w:t>
      </w:r>
    </w:p>
    <w:p w14:paraId="2ED9EC37" w14:textId="77777777" w:rsidR="00426B77" w:rsidRPr="004E2B6D" w:rsidRDefault="00426B77" w:rsidP="004D66B8">
      <w:pPr>
        <w:spacing w:after="0" w:line="240" w:lineRule="auto"/>
        <w:ind w:firstLine="567"/>
        <w:jc w:val="both"/>
        <w:rPr>
          <w:rFonts w:ascii="Times New Roman" w:hAnsi="Times New Roman" w:cs="Times New Roman"/>
          <w:sz w:val="24"/>
          <w:szCs w:val="24"/>
        </w:rPr>
      </w:pPr>
    </w:p>
    <w:p w14:paraId="691AFDA3" w14:textId="08E7C167" w:rsidR="00B83A3A" w:rsidRPr="004E2B6D" w:rsidRDefault="008707F7" w:rsidP="00935D74">
      <w:pPr>
        <w:spacing w:after="0" w:line="240" w:lineRule="auto"/>
        <w:jc w:val="both"/>
        <w:rPr>
          <w:rFonts w:ascii="Times New Roman" w:hAnsi="Times New Roman" w:cs="Times New Roman"/>
          <w:b/>
          <w:bCs/>
          <w:sz w:val="24"/>
          <w:szCs w:val="24"/>
        </w:rPr>
      </w:pPr>
      <w:r w:rsidRPr="004E2B6D">
        <w:rPr>
          <w:rFonts w:ascii="Times New Roman" w:hAnsi="Times New Roman" w:cs="Times New Roman"/>
          <w:b/>
          <w:bCs/>
          <w:sz w:val="24"/>
          <w:szCs w:val="24"/>
        </w:rPr>
        <w:t>Hubungan Pekerjaan Pasien dengan Kecemasan Pasien Pre Operasi</w:t>
      </w:r>
    </w:p>
    <w:p w14:paraId="47338C9B" w14:textId="5E524183" w:rsidR="00BC5310" w:rsidRPr="004E2B6D" w:rsidRDefault="00BC5310" w:rsidP="004D66B8">
      <w:pPr>
        <w:spacing w:after="0" w:line="240" w:lineRule="auto"/>
        <w:ind w:firstLine="567"/>
        <w:jc w:val="both"/>
        <w:rPr>
          <w:rFonts w:ascii="Times New Roman" w:hAnsi="Times New Roman" w:cs="Times New Roman"/>
          <w:sz w:val="24"/>
          <w:szCs w:val="24"/>
        </w:rPr>
      </w:pPr>
      <w:r w:rsidRPr="004E2B6D">
        <w:rPr>
          <w:rFonts w:ascii="Times New Roman" w:hAnsi="Times New Roman" w:cs="Times New Roman"/>
          <w:sz w:val="24"/>
          <w:szCs w:val="24"/>
        </w:rPr>
        <w:t xml:space="preserve">Faktor pekerjaan berhubungan dengan kecemasan pasien pre operasi. Penelitian ini tidak sejalan dengan penelitian </w:t>
      </w:r>
      <w:r w:rsidR="00426B77" w:rsidRPr="004E2B6D">
        <w:rPr>
          <w:rFonts w:ascii="Times New Roman" w:hAnsi="Times New Roman" w:cs="Times New Roman"/>
          <w:sz w:val="24"/>
          <w:szCs w:val="24"/>
        </w:rPr>
        <w:fldChar w:fldCharType="begin" w:fldLock="1"/>
      </w:r>
      <w:r w:rsidR="00426B77" w:rsidRPr="004E2B6D">
        <w:rPr>
          <w:rFonts w:ascii="Times New Roman" w:hAnsi="Times New Roman" w:cs="Times New Roman"/>
          <w:sz w:val="24"/>
          <w:szCs w:val="24"/>
        </w:rPr>
        <w:instrText>ADDIN CSL_CITATION {"citationItems":[{"id":"ITEM-1","itemData":{"abstract":"Pendahuluan: Kecemasan adalah keadaan dimana seseorang mengalami perasaan gelisah dan terjadi aktivasi sistem saraf otonom yang merupakan respon terhadap ancaman yang tidak jelas dan non spesifik. Kecemasan sering terjadi pada saat dilakukan operasi karena adanya gangguan integritas tubuh dan jiwa seseorang yang dapat berpengaruh pada psikologis. Tujuan penelitian: Mengetahui hubungan tingkat kecemasan pasien preoperatif dengan karakteristik pasien di Kamar Operasi RSI Siti Rahmah. Metode: Jenis penelitian ini adalah jenis penelitian deskriptif analitik dengan desain penelitian cross sectional dan berada dalam ruang lingkup ilmu anestesi. Sampel yang digunakan dalam penelitian ini adalah pasien yang akan menjalani operasi di RSI Siti Rahmah. Penelitian dilaksanakan pada bulan April 2019 – Januari 2020 dengan pengambilan sampel menggunakan teknik consecutive sampling dan didapatkan sampel sebanyak 52 orang. Analisis data univariat disajikan dalam bentuk distribusi frekuensi dan persentase dan analisis bivariat menggunakan uji Chi-square dan pengolahan data menggunakan komputerisasi program SPSS versi 24.0. Hasil: Berdasarkan hasil penelitian usia terbanyak adalah dewasa yaitu 27 orang (51,9%), jenis kelamin terbanyak adalah laki-laki yaitu 28 orang (53,8%), pendidikan terbanyak adalah tingkat pendidikan tinggi yaitu 22 orang (42,3%), pekerjaan terbanyak adalah swasta yaitu 15 orang (28,8%) dan status pernikahan terbanyak adalah sudah menikah yaitu 42 orang (80,8%), tingkat kecemasan terbanyak adalah kecemasan berat yaitu 20 orang (38,5%), terdapat hubungan usia (p=0,036), jenis kelamin (p=0,010), pendidikan (p=0,042), pekerjaan (p=0,016) dengan tingkat kecemasan pasien sedangkan tidak terdapat hubungan antara status pernikahan dengan tingkat kecemasan pasien di Kamar Operasi RSI Siti Rahmah. (p=0,064). Kesimpulan: Terdapat hubungan antara usia, jenis kelamin, pendidikan, serta pekerjaan dengan tingkat kecemasan pasien di Kamar Operasi RSI Siti Rahmah akan tetapi tidak terdapat hubungan antara status pernikahan dengan tingkat kecemasan pasien di Kamar Operasi RSI Siti Rahmah .","author":[{"dropping-particle":"","family":"Putri","given":"S B","non-dropping-particle":"","parse-names":false,"suffix":""},{"dropping-particle":"","family":"Darmayanti","given":"A","non-dropping-particle":"","parse-names":false,"suffix":""},{"dropping-particle":"","family":"Dewi","given":"N P","non-dropping-particle":"","parse-names":false,"suffix":""}],"container-title":"Baiturrahmah Medical Journal","id":"ITEM-1","issue":"2","issued":{"date-parts":[["2022"]]},"page":"11-25","title":"Hubungan Tingkat Kecemasan Preoperatif dengan Karakteristik Pasien di Kamar Operasi RSI Siti Rahmah","type":"article-journal","volume":"1"},"uris":["http://www.mendeley.com/documents/?uuid=08751b67-90ca-4c84-bd4c-a1b242864d5c"]}],"mendeley":{"formattedCitation":"(Putri et al., 2022)","plainTextFormattedCitation":"(Putri et al., 2022)","previouslyFormattedCitation":"(Putri et al., 2022)"},"properties":{"noteIndex":0},"schema":"https://github.com/citation-style-language/schema/raw/master/csl-citation.json"}</w:instrText>
      </w:r>
      <w:r w:rsidR="00426B77" w:rsidRPr="004E2B6D">
        <w:rPr>
          <w:rFonts w:ascii="Times New Roman" w:hAnsi="Times New Roman" w:cs="Times New Roman"/>
          <w:sz w:val="24"/>
          <w:szCs w:val="24"/>
        </w:rPr>
        <w:fldChar w:fldCharType="separate"/>
      </w:r>
      <w:r w:rsidR="00426B77" w:rsidRPr="004E2B6D">
        <w:rPr>
          <w:rFonts w:ascii="Times New Roman" w:hAnsi="Times New Roman" w:cs="Times New Roman"/>
          <w:noProof/>
          <w:sz w:val="24"/>
          <w:szCs w:val="24"/>
        </w:rPr>
        <w:t>Putri et al., (2021)</w:t>
      </w:r>
      <w:r w:rsidR="00426B77" w:rsidRPr="004E2B6D">
        <w:rPr>
          <w:rFonts w:ascii="Times New Roman" w:hAnsi="Times New Roman" w:cs="Times New Roman"/>
          <w:sz w:val="24"/>
          <w:szCs w:val="24"/>
        </w:rPr>
        <w:fldChar w:fldCharType="end"/>
      </w:r>
      <w:r w:rsidRPr="004E2B6D">
        <w:rPr>
          <w:rFonts w:ascii="Times New Roman" w:hAnsi="Times New Roman" w:cs="Times New Roman"/>
          <w:sz w:val="24"/>
          <w:szCs w:val="24"/>
        </w:rPr>
        <w:t xml:space="preserve"> yang menunjukkan adanya hubungan status pekerjaan terhadap kecemasan pasien pre operasi  Analisis peneliti menunjukkan pasien yang bekerja lebih mengalami kecemasan tingkat berat. Hal ini terjadi karena kemungkinan pasien selalu memikirkan biaya pengobatan, biaya selama perawatan mulai masuk sampai keluar RS serta untuk perawatan di rumah. Apalagi jika pasiennya laki-laki sebagai kepala keluarga yang harus menafkahi keluarganya. Kondisi penyakitnya yang kemungkinan memerlukan perawatan lama, menjadi beban keluarga, akan menambah tingkat kecemasannya</w:t>
      </w:r>
      <w:r w:rsidR="001F4789" w:rsidRPr="004E2B6D">
        <w:rPr>
          <w:rFonts w:ascii="Times New Roman" w:hAnsi="Times New Roman" w:cs="Times New Roman"/>
          <w:sz w:val="24"/>
          <w:szCs w:val="24"/>
        </w:rPr>
        <w:t xml:space="preserve"> </w:t>
      </w:r>
      <w:r w:rsidR="001F4789" w:rsidRPr="004E2B6D">
        <w:rPr>
          <w:rFonts w:ascii="Times New Roman" w:hAnsi="Times New Roman" w:cs="Times New Roman"/>
          <w:sz w:val="24"/>
          <w:szCs w:val="24"/>
        </w:rPr>
        <w:fldChar w:fldCharType="begin" w:fldLock="1"/>
      </w:r>
      <w:r w:rsidR="00456939" w:rsidRPr="004E2B6D">
        <w:rPr>
          <w:rFonts w:ascii="Times New Roman" w:hAnsi="Times New Roman" w:cs="Times New Roman"/>
          <w:sz w:val="24"/>
          <w:szCs w:val="24"/>
        </w:rPr>
        <w:instrText>ADDIN CSL_CITATION {"citationItems":[{"id":"ITEM-1","itemData":{"DOI":"10.14710/empati.2020.27697","ISSN":"2337-375X","abstract":"Penelitian ini bertujuan untuk mengetahui hubungan antara Persepsi terhadap Dukungan Keluarga dengan Tingkat Kecemasan pada Penderita Penyakit Jantung. Populasi penelitian ini berjumlah 78 pasien penyakit jantung di RSUD Tugurejo Semarang dengan sampel 45 orang yang diambil melalui quota sampling. Alat ukur yang digunakan adalah Skala Persepsi terhadap Dukungan Keluarga (19 aitem, α = 0,87) dan Skala Kecemasan bagi Penderita Penyakit Jantung(12 aitem, α = 0,77). Hasil analisis regresi sederhana menunjukkan nilai koefisienrxy= -0,356; p = 0,016 (p&lt;0,05). Hasil penelitian menunjukkan terdapat hubungan negatif yang signifikan antara Persepsi terhadap Dukungan Keluarga dengan Tingkat Kecemasan pada Penderita Penyakit Jantung di RSUD Tugurejo Semarang. Persepsi terhadap Dukungan Keluarga memberikan sumbangan efektif sebesar 12,7% dalam memprediksi Kecemasan pada Penderita Penyakit Jantung, sisanya sebesar 87,3% dipengaruhi oleh faktor lain yang tidak diungkap dalam penelitian ini. Analisis tambahan menunjukkan bahwa tidak ada perbedaan yang signifikan pada variable Persepsi terhadap Dukungan Keluarga maupun Tingkat Kecemasan pada Pasien Penyakit Jantung apabila ditinjau dari jenis kelamin, usia, maupun tingkat pendidikan terakhir pasien.","author":[{"dropping-particle":"","family":"Widiyanti","given":"Prabandita Permata","non-dropping-particle":"","parse-names":false,"suffix":""},{"dropping-particle":"","family":"Rahmandani","given":"Amalia","non-dropping-particle":"","parse-names":false,"suffix":""}],"container-title":"Jurnal EMPATI","id":"ITEM-1","issue":"2","issued":{"date-parts":[["2020"]]},"page":"107-113","title":"Hubungan Persepsi terhadap Dukungan Keluarga dengan Tingkat Kecemasan Penderita Penyakit Jantung","type":"article-journal","volume":"10"},"uris":["http://www.mendeley.com/documents/?uuid=61869d4a-622c-4753-832f-60012659af33"]}],"mendeley":{"formattedCitation":"(Widiyanti &amp; Rahmandani, 2020)","plainTextFormattedCitation":"(Widiyanti &amp; Rahmandani, 2020)","previouslyFormattedCitation":"(Widiyanti &amp; Rahmandani, 2020)"},"properties":{"noteIndex":0},"schema":"https://github.com/citation-style-language/schema/raw/master/csl-citation.json"}</w:instrText>
      </w:r>
      <w:r w:rsidR="001F4789" w:rsidRPr="004E2B6D">
        <w:rPr>
          <w:rFonts w:ascii="Times New Roman" w:hAnsi="Times New Roman" w:cs="Times New Roman"/>
          <w:sz w:val="24"/>
          <w:szCs w:val="24"/>
        </w:rPr>
        <w:fldChar w:fldCharType="separate"/>
      </w:r>
      <w:r w:rsidR="00456939" w:rsidRPr="004E2B6D">
        <w:rPr>
          <w:rFonts w:ascii="Times New Roman" w:hAnsi="Times New Roman" w:cs="Times New Roman"/>
          <w:noProof/>
          <w:sz w:val="24"/>
          <w:szCs w:val="24"/>
        </w:rPr>
        <w:t>(Widiyanti &amp; Rahmandani, 2020)</w:t>
      </w:r>
      <w:r w:rsidR="001F4789" w:rsidRPr="004E2B6D">
        <w:rPr>
          <w:rFonts w:ascii="Times New Roman" w:hAnsi="Times New Roman" w:cs="Times New Roman"/>
          <w:sz w:val="24"/>
          <w:szCs w:val="24"/>
        </w:rPr>
        <w:fldChar w:fldCharType="end"/>
      </w:r>
      <w:r w:rsidR="001F4789" w:rsidRPr="004E2B6D">
        <w:rPr>
          <w:rFonts w:ascii="Times New Roman" w:hAnsi="Times New Roman" w:cs="Times New Roman"/>
          <w:sz w:val="24"/>
          <w:szCs w:val="24"/>
        </w:rPr>
        <w:t>.</w:t>
      </w:r>
    </w:p>
    <w:p w14:paraId="505DB694" w14:textId="617C836A" w:rsidR="00BC5310" w:rsidRPr="004E2B6D" w:rsidRDefault="00BC5310" w:rsidP="004D66B8">
      <w:pPr>
        <w:spacing w:after="0" w:line="240" w:lineRule="auto"/>
        <w:ind w:firstLine="567"/>
        <w:jc w:val="both"/>
        <w:rPr>
          <w:rFonts w:ascii="Times New Roman" w:hAnsi="Times New Roman" w:cs="Times New Roman"/>
          <w:sz w:val="24"/>
          <w:szCs w:val="24"/>
        </w:rPr>
      </w:pPr>
      <w:r w:rsidRPr="004E2B6D">
        <w:rPr>
          <w:rFonts w:ascii="Times New Roman" w:hAnsi="Times New Roman" w:cs="Times New Roman"/>
          <w:sz w:val="24"/>
          <w:szCs w:val="24"/>
        </w:rPr>
        <w:t>Pasien yang tidak bekerja, atau tidak mempunyai pekerjaan tetap sehingga tidak bisa menghasi</w:t>
      </w:r>
      <w:r w:rsidR="00B05566" w:rsidRPr="004E2B6D">
        <w:rPr>
          <w:rFonts w:ascii="Times New Roman" w:hAnsi="Times New Roman" w:cs="Times New Roman"/>
          <w:sz w:val="24"/>
          <w:szCs w:val="24"/>
        </w:rPr>
        <w:t>lkan uang dan sebagai peran ist</w:t>
      </w:r>
      <w:r w:rsidRPr="004E2B6D">
        <w:rPr>
          <w:rFonts w:ascii="Times New Roman" w:hAnsi="Times New Roman" w:cs="Times New Roman"/>
          <w:sz w:val="24"/>
          <w:szCs w:val="24"/>
        </w:rPr>
        <w:t>ri tidak bisa bekerja mengurus keluarga dan membantu suami. Selain itu pemikiran tentang keadaannya setelah operasi nanti karena belum mendapat jawaban yang jelas apakah pasien akan bertambah sehat atau bertambah sakit, inilah yang memicu tingkat kecemasan pasien yang tidak bekerja. Sedangkan pasien yang memiliki pekerjaan menunjukkan tidak terlalu memikirkan masalah penghasilannya. Penghasilan pasien sebelumnya dapat membiayai operasi dan kebutuhan keluarganya tersebut dan sudah memiliki jaminan kesehatan di tempat pasien bekerja.</w:t>
      </w:r>
    </w:p>
    <w:p w14:paraId="10491A83" w14:textId="77777777" w:rsidR="008A4F3A" w:rsidRPr="004E2B6D" w:rsidRDefault="008A4F3A" w:rsidP="00935D74">
      <w:pPr>
        <w:spacing w:after="0" w:line="240" w:lineRule="auto"/>
        <w:ind w:firstLine="426"/>
        <w:jc w:val="both"/>
        <w:rPr>
          <w:rFonts w:ascii="Times New Roman" w:hAnsi="Times New Roman" w:cs="Times New Roman"/>
          <w:sz w:val="24"/>
          <w:szCs w:val="24"/>
        </w:rPr>
      </w:pPr>
    </w:p>
    <w:p w14:paraId="24A54409" w14:textId="3343FE24" w:rsidR="008707F7" w:rsidRPr="004E2B6D" w:rsidRDefault="008707F7" w:rsidP="00935D74">
      <w:pPr>
        <w:spacing w:after="0" w:line="240" w:lineRule="auto"/>
        <w:jc w:val="both"/>
        <w:rPr>
          <w:rFonts w:ascii="Times New Roman" w:hAnsi="Times New Roman" w:cs="Times New Roman"/>
          <w:b/>
          <w:bCs/>
          <w:sz w:val="24"/>
          <w:szCs w:val="24"/>
        </w:rPr>
      </w:pPr>
      <w:r w:rsidRPr="004E2B6D">
        <w:rPr>
          <w:rFonts w:ascii="Times New Roman" w:hAnsi="Times New Roman" w:cs="Times New Roman"/>
          <w:b/>
          <w:bCs/>
          <w:sz w:val="24"/>
          <w:szCs w:val="24"/>
        </w:rPr>
        <w:t>Hubungan Frekuensi Operasi Pasien dengan Kecemasana Pasien Pre Operasi</w:t>
      </w:r>
    </w:p>
    <w:p w14:paraId="6F9E9E2B" w14:textId="61732EE3" w:rsidR="009F1F63" w:rsidRPr="004E2B6D" w:rsidRDefault="009F1F63" w:rsidP="004D66B8">
      <w:pPr>
        <w:spacing w:after="0" w:line="240" w:lineRule="auto"/>
        <w:ind w:firstLine="567"/>
        <w:jc w:val="both"/>
        <w:rPr>
          <w:rFonts w:ascii="Times New Roman" w:hAnsi="Times New Roman" w:cs="Times New Roman"/>
          <w:sz w:val="24"/>
          <w:szCs w:val="24"/>
        </w:rPr>
      </w:pPr>
      <w:r w:rsidRPr="004E2B6D">
        <w:rPr>
          <w:rFonts w:ascii="Times New Roman" w:hAnsi="Times New Roman" w:cs="Times New Roman"/>
          <w:sz w:val="24"/>
          <w:szCs w:val="24"/>
        </w:rPr>
        <w:t xml:space="preserve">Faktor frekuensi operasi tidak memiliki hubungan terhadap kecemasan pasien pre operasi. Pasien yang memiliki pengalaman operasi sebelumnya maupun yang pertama kali sama-sama mengalami kecemasan. Penelitian ini sejalan dengan penelitian </w:t>
      </w:r>
      <w:r w:rsidR="00B05566" w:rsidRPr="004E2B6D">
        <w:rPr>
          <w:rFonts w:ascii="Times New Roman" w:hAnsi="Times New Roman" w:cs="Times New Roman"/>
          <w:sz w:val="24"/>
          <w:szCs w:val="24"/>
        </w:rPr>
        <w:fldChar w:fldCharType="begin" w:fldLock="1"/>
      </w:r>
      <w:r w:rsidR="00B05566" w:rsidRPr="004E2B6D">
        <w:rPr>
          <w:rFonts w:ascii="Times New Roman" w:hAnsi="Times New Roman" w:cs="Times New Roman"/>
          <w:sz w:val="24"/>
          <w:szCs w:val="24"/>
        </w:rPr>
        <w:instrText>ADDIN CSL_CITATION {"citationItems":[{"id":"ITEM-1","itemData":{"DOI":"https://doi.org/10.31869/mi.v14i2.2176","abstract":"Tingginya prevalensi tingkat kecemasan pada pasien preoperasi bedah mayor menyebabkan proses operasi menjadi tertunda bahkan dibatalkan. Penelitian ini bertujuan untuk menganalisis pengaruh faktor-faktor yang berhubungan dengan tingkat kecemasan pada pasien preoperasi bedah mayor di ruang teratai. Jenis penelitian adalah deskriptif analitik dengan rancangan “cross sectional study”. Sampel adalah pasien preoperasi bedah mayor di ruang teratai sebanyak 99 orang. Pengambilan data dilakukan dengan menggunakan angket dan wawancara terpimpin. Data dianalisis dengan menggunakan uji chi-square. Hasil penelitian menunjukkan ada hubungan antara faktor internal (pendidikan, pekerjaan, pengetahuan, pengalaman, tipe kepribadian) dan faktor eksternal (dukungan keluarga) dengan tingkat kecemasan pasien preoperasi bedah mayor. Variabel yang paling berhubungan dengan tingkat kecemasan pasien preoperasi bedah mayor adalah pengetahuan. Disarankan kepada perawat di ruang teratai melalui Rumah Sakit untuk meningkatkan pengetahuan pasien dan melakukan asuhan keperawatan yang efektif dengan menerapkan aspek pengkajian perioperatif secara komprehensif sehingga dapat mendeteksi dini adanya kecemasan.","author":[{"dropping-particle":"","family":"Sari","given":"yuli permata","non-dropping-particle":"","parse-names":false,"suffix":""},{"dropping-particle":"","family":"Riasmini","given":"ni made","non-dropping-particle":"","parse-names":false,"suffix":""},{"dropping-particle":"","family":"Guslinda","given":"","non-dropping-particle":"","parse-names":false,"suffix":""}],"container-title":"Menara Ilmu","id":"ITEM-1","issue":"02","issued":{"date-parts":[["2020"]]},"page":"133-147","title":"Analisis Faktor-faktor yang Berhubungan dengan Tingkat Kecemasan pada Pasien Preoperasi Bedah Mayor di Ruang Teratai","type":"article-journal","volume":"XIV"},"uris":["http://www.mendeley.com/documents/?uuid=ddfbfeed-ee5f-4be5-a193-7fb18eb5c506"]}],"mendeley":{"formattedCitation":"(Sari et al., 2020)","plainTextFormattedCitation":"(Sari et al., 2020)","previouslyFormattedCitation":"(Sari et al., 2020)"},"properties":{"noteIndex":0},"schema":"https://github.com/citation-style-language/schema/raw/master/csl-citation.json"}</w:instrText>
      </w:r>
      <w:r w:rsidR="00B05566" w:rsidRPr="004E2B6D">
        <w:rPr>
          <w:rFonts w:ascii="Times New Roman" w:hAnsi="Times New Roman" w:cs="Times New Roman"/>
          <w:sz w:val="24"/>
          <w:szCs w:val="24"/>
        </w:rPr>
        <w:fldChar w:fldCharType="separate"/>
      </w:r>
      <w:r w:rsidR="00B05566" w:rsidRPr="004E2B6D">
        <w:rPr>
          <w:rFonts w:ascii="Times New Roman" w:hAnsi="Times New Roman" w:cs="Times New Roman"/>
          <w:noProof/>
          <w:sz w:val="24"/>
          <w:szCs w:val="24"/>
        </w:rPr>
        <w:t>Sari et al., (2020)</w:t>
      </w:r>
      <w:r w:rsidR="00B05566" w:rsidRPr="004E2B6D">
        <w:rPr>
          <w:rFonts w:ascii="Times New Roman" w:hAnsi="Times New Roman" w:cs="Times New Roman"/>
          <w:sz w:val="24"/>
          <w:szCs w:val="24"/>
        </w:rPr>
        <w:fldChar w:fldCharType="end"/>
      </w:r>
      <w:r w:rsidRPr="004E2B6D">
        <w:rPr>
          <w:rFonts w:ascii="Times New Roman" w:hAnsi="Times New Roman" w:cs="Times New Roman"/>
          <w:sz w:val="24"/>
          <w:szCs w:val="24"/>
        </w:rPr>
        <w:t xml:space="preserve"> yang menunjukkan tidak ada hubungan pengalaman operasi terhadap kecemasan pasien pre operasi. Pengalaman individu sangat mempengaruhi respon kecemasan karena pengalaman dapat dijadikan suatu pembelajaran dalam menghadapi suatu stresor atau masalah. Pengalaman disini berkaitan dengan umur dan pendidikan, dimana pada seseorang dengan umur yang bertambah dan pendidikan yang lebih baik </w:t>
      </w:r>
      <w:r w:rsidRPr="004E2B6D">
        <w:rPr>
          <w:rFonts w:ascii="Times New Roman" w:hAnsi="Times New Roman" w:cs="Times New Roman"/>
          <w:sz w:val="24"/>
          <w:szCs w:val="24"/>
        </w:rPr>
        <w:lastRenderedPageBreak/>
        <w:t>akan memudahkan dalam menyerap informasi yang didapatkannya serta bersikap lebih bijak karena telah melalui proses operasi sebelumnya</w:t>
      </w:r>
      <w:r w:rsidR="001F4789" w:rsidRPr="004E2B6D">
        <w:rPr>
          <w:rFonts w:ascii="Times New Roman" w:hAnsi="Times New Roman" w:cs="Times New Roman"/>
          <w:sz w:val="24"/>
          <w:szCs w:val="24"/>
        </w:rPr>
        <w:t xml:space="preserve"> </w:t>
      </w:r>
      <w:r w:rsidR="001F4789" w:rsidRPr="004E2B6D">
        <w:rPr>
          <w:rFonts w:ascii="Times New Roman" w:hAnsi="Times New Roman" w:cs="Times New Roman"/>
          <w:sz w:val="24"/>
          <w:szCs w:val="24"/>
        </w:rPr>
        <w:fldChar w:fldCharType="begin" w:fldLock="1"/>
      </w:r>
      <w:r w:rsidR="00456939" w:rsidRPr="004E2B6D">
        <w:rPr>
          <w:rFonts w:ascii="Times New Roman" w:hAnsi="Times New Roman" w:cs="Times New Roman"/>
          <w:sz w:val="24"/>
          <w:szCs w:val="24"/>
        </w:rPr>
        <w:instrText>ADDIN CSL_CITATION {"citationItems":[{"id":"ITEM-1","itemData":{"abstract":"Kecemasan adalah suatu sinyal yang memperingatkan adanya bahaya yang mengancam. Faktor yang mempengaruhi kecemasan dibagi menjadi dua meliputi faktor internal (jenis kelamin, umur, tingkat pendidikan, dan pengalaman di rawat) dan eksternal (kondisi …","author":[{"dropping-particle":"","family":"Naim","given":"Awaluddin","non-dropping-particle":"","parse-names":false,"suffix":""},{"dropping-particle":"","family":"Sugiyanto","given":"","non-dropping-particle":"","parse-names":false,"suffix":""}],"container-title":"Jurnal Kesehatan Luwu Raya","id":"ITEM-1","issue":"1","issued":{"date-parts":[["2021"]]},"page":"85-92","title":"Faktor-Faktor Yang Mempengaruhi Tingkat Kecemasan Pasien yang akan di Pasangkan Infus di UGD Puskesmas Sabbang","type":"article-journal","volume":"8"},"uris":["http://www.mendeley.com/documents/?uuid=af6b842d-cea6-4b6a-a71d-a356aecf2e44"]}],"mendeley":{"formattedCitation":"(Naim &amp; Sugiyanto, 2021)","plainTextFormattedCitation":"(Naim &amp; Sugiyanto, 2021)","previouslyFormattedCitation":"(Naim &amp; Sugiyanto, 2021)"},"properties":{"noteIndex":0},"schema":"https://github.com/citation-style-language/schema/raw/master/csl-citation.json"}</w:instrText>
      </w:r>
      <w:r w:rsidR="001F4789" w:rsidRPr="004E2B6D">
        <w:rPr>
          <w:rFonts w:ascii="Times New Roman" w:hAnsi="Times New Roman" w:cs="Times New Roman"/>
          <w:sz w:val="24"/>
          <w:szCs w:val="24"/>
        </w:rPr>
        <w:fldChar w:fldCharType="separate"/>
      </w:r>
      <w:r w:rsidR="00456939" w:rsidRPr="004E2B6D">
        <w:rPr>
          <w:rFonts w:ascii="Times New Roman" w:hAnsi="Times New Roman" w:cs="Times New Roman"/>
          <w:noProof/>
          <w:sz w:val="24"/>
          <w:szCs w:val="24"/>
        </w:rPr>
        <w:t>(Naim &amp; Sugiyanto, 2021)</w:t>
      </w:r>
      <w:r w:rsidR="001F4789" w:rsidRPr="004E2B6D">
        <w:rPr>
          <w:rFonts w:ascii="Times New Roman" w:hAnsi="Times New Roman" w:cs="Times New Roman"/>
          <w:sz w:val="24"/>
          <w:szCs w:val="24"/>
        </w:rPr>
        <w:fldChar w:fldCharType="end"/>
      </w:r>
      <w:r w:rsidR="001F4789" w:rsidRPr="004E2B6D">
        <w:rPr>
          <w:rFonts w:ascii="Times New Roman" w:hAnsi="Times New Roman" w:cs="Times New Roman"/>
          <w:sz w:val="24"/>
          <w:szCs w:val="24"/>
        </w:rPr>
        <w:t>.</w:t>
      </w:r>
    </w:p>
    <w:p w14:paraId="6C4CA871" w14:textId="5D6D0F04" w:rsidR="00B83A3A" w:rsidRPr="004E2B6D" w:rsidRDefault="009F1F63" w:rsidP="004D66B8">
      <w:pPr>
        <w:spacing w:after="0" w:line="240" w:lineRule="auto"/>
        <w:ind w:firstLine="567"/>
        <w:jc w:val="both"/>
        <w:rPr>
          <w:rFonts w:ascii="Times New Roman" w:hAnsi="Times New Roman" w:cs="Times New Roman"/>
          <w:sz w:val="24"/>
          <w:szCs w:val="24"/>
        </w:rPr>
      </w:pPr>
      <w:r w:rsidRPr="004E2B6D">
        <w:rPr>
          <w:rFonts w:ascii="Times New Roman" w:hAnsi="Times New Roman" w:cs="Times New Roman"/>
          <w:sz w:val="24"/>
          <w:szCs w:val="24"/>
        </w:rPr>
        <w:t>Hasil penelitian ini menggambarkan pasien yang pernah menjalani operasi sebelumnya masih tetap mengalami kecemasan. Sebaliknya pasien yang mempunyai pengalaman operasi yang baik memungkinkan memiliki tingkat kecemasan lebih ringan dibandingkan pasien pre operasi yang mempunyai pengalaman operasi yang buruk. Hal ini terjadi karena pasien mempunyai pengalaman yang baik akan beranggapan bahwa dengan melakukan operasi maka penyakit yang dideritanya bisa disembuhkan. Pengalaman merupakan pembelajaran yang dapat dijadikan sebagai kemampuan seseorang dalam mengembangkan koping untuk menghadapi suatu stressor atau masalah. Pengalaman operasi sebelumnya dapat mempengaruhi tingkat kecemasan seseorang untuk persiapan menghadapi operasi karna sudah melewati proses operasi dan memiliki pengetahuan yang lebih baik sehingga dapat bertindak lebih tenang dari sebelumnya</w:t>
      </w:r>
    </w:p>
    <w:p w14:paraId="33578472" w14:textId="3DEBB465" w:rsidR="00A65B26" w:rsidRPr="004E2B6D" w:rsidRDefault="00F42F33" w:rsidP="00935D74">
      <w:pPr>
        <w:spacing w:before="240" w:after="0" w:line="240" w:lineRule="auto"/>
        <w:rPr>
          <w:rFonts w:ascii="Times New Roman" w:hAnsi="Times New Roman" w:cs="Times New Roman"/>
          <w:b/>
          <w:sz w:val="24"/>
          <w:szCs w:val="24"/>
          <w:lang w:val="en-US"/>
        </w:rPr>
      </w:pPr>
      <w:r w:rsidRPr="004E2B6D">
        <w:rPr>
          <w:rFonts w:ascii="Times New Roman" w:hAnsi="Times New Roman" w:cs="Times New Roman"/>
          <w:b/>
          <w:sz w:val="24"/>
          <w:szCs w:val="24"/>
          <w:lang w:val="en-US"/>
        </w:rPr>
        <w:t>SIMPULAN</w:t>
      </w:r>
    </w:p>
    <w:p w14:paraId="4A737623" w14:textId="32A5A393" w:rsidR="00A65B26" w:rsidRPr="004E2B6D" w:rsidRDefault="00A65B26" w:rsidP="00935D74">
      <w:pPr>
        <w:spacing w:after="0" w:line="240" w:lineRule="auto"/>
        <w:ind w:firstLine="567"/>
        <w:jc w:val="both"/>
        <w:rPr>
          <w:rFonts w:ascii="Times New Roman" w:hAnsi="Times New Roman" w:cs="Times New Roman"/>
          <w:b/>
          <w:sz w:val="24"/>
          <w:szCs w:val="24"/>
          <w:lang w:val="en-US"/>
        </w:rPr>
      </w:pPr>
      <w:r w:rsidRPr="004E2B6D">
        <w:rPr>
          <w:rFonts w:ascii="Times New Roman" w:hAnsi="Times New Roman" w:cs="Times New Roman"/>
          <w:sz w:val="24"/>
          <w:szCs w:val="24"/>
          <w:lang w:val="en-US"/>
        </w:rPr>
        <w:t xml:space="preserve">Faktor </w:t>
      </w:r>
      <w:r w:rsidR="009F1F63" w:rsidRPr="004E2B6D">
        <w:rPr>
          <w:rFonts w:ascii="Times New Roman" w:hAnsi="Times New Roman" w:cs="Times New Roman"/>
          <w:sz w:val="24"/>
          <w:szCs w:val="24"/>
          <w:lang w:val="en-US"/>
        </w:rPr>
        <w:t xml:space="preserve">usia, jenis kelamin, pendidikan, pekerjaan dan frekuensi operasi tidak memiliki hubungan dengan kecemasan pasien pre operasi. Semua pasien yang akan menjalani operasi memiliki tingkat kecemasan yang berbeda dan tidak dapat dihubungkan dengan karakteristik pasien. Hal tersebut dikarenakan kecemasan merupakan </w:t>
      </w:r>
      <w:r w:rsidR="001F4789" w:rsidRPr="004E2B6D">
        <w:rPr>
          <w:rFonts w:ascii="Times New Roman" w:hAnsi="Times New Roman" w:cs="Times New Roman"/>
          <w:sz w:val="24"/>
          <w:szCs w:val="24"/>
          <w:lang w:val="en-US"/>
        </w:rPr>
        <w:t>respon diri pasien dalam menanggapi kemungkinan yang akan terjadi apabila dilakukan tindakan operasi.</w:t>
      </w:r>
      <w:r w:rsidR="001F4789" w:rsidRPr="004E2B6D">
        <w:rPr>
          <w:rFonts w:ascii="Times New Roman" w:hAnsi="Times New Roman" w:cs="Times New Roman"/>
          <w:b/>
          <w:sz w:val="24"/>
          <w:szCs w:val="24"/>
          <w:lang w:val="en-US"/>
        </w:rPr>
        <w:t xml:space="preserve"> </w:t>
      </w:r>
    </w:p>
    <w:p w14:paraId="17811F5D" w14:textId="04F68E86" w:rsidR="00264307" w:rsidRPr="004E2B6D" w:rsidRDefault="00264307" w:rsidP="00935D74">
      <w:pPr>
        <w:spacing w:after="0" w:line="240" w:lineRule="auto"/>
        <w:ind w:firstLine="567"/>
        <w:jc w:val="both"/>
        <w:rPr>
          <w:rFonts w:ascii="Times New Roman" w:hAnsi="Times New Roman" w:cs="Times New Roman"/>
          <w:bCs/>
          <w:sz w:val="24"/>
          <w:szCs w:val="24"/>
          <w:lang w:val="en-US"/>
        </w:rPr>
      </w:pPr>
      <w:r w:rsidRPr="004E2B6D">
        <w:rPr>
          <w:rFonts w:ascii="Times New Roman" w:hAnsi="Times New Roman" w:cs="Times New Roman"/>
          <w:bCs/>
          <w:sz w:val="24"/>
          <w:szCs w:val="24"/>
          <w:lang w:val="en-US"/>
        </w:rPr>
        <w:t>Kondisi kecemasan pasien pre operasi akan semakin meningkat apabila tidak dikendalikan dengan benar. Kondisi kecemasan akan mengganggu proses keberlangsungan tindakan operasi apabila tidak mendapatkan tindakan penurunan kecemasan. Kecemasan yang terlalu tinggi akan menyebabkan tertundanya tindakan operasi. Sehingga kualitas pelayanan pada kamar operasi akan menurun dan mengakibatkan penurunan kualitas pelayanan kesehatan.</w:t>
      </w:r>
    </w:p>
    <w:p w14:paraId="514F3D6D" w14:textId="5AA9CE01" w:rsidR="00F42F33" w:rsidRPr="004E2B6D" w:rsidRDefault="00F42F33" w:rsidP="00935D74">
      <w:pPr>
        <w:spacing w:before="240" w:after="0" w:line="240" w:lineRule="auto"/>
        <w:jc w:val="both"/>
        <w:rPr>
          <w:rFonts w:ascii="Times New Roman" w:hAnsi="Times New Roman" w:cs="Times New Roman"/>
          <w:b/>
          <w:bCs/>
          <w:sz w:val="24"/>
          <w:szCs w:val="24"/>
          <w:lang w:val="en-US"/>
        </w:rPr>
      </w:pPr>
      <w:r w:rsidRPr="004E2B6D">
        <w:rPr>
          <w:rFonts w:ascii="Times New Roman" w:hAnsi="Times New Roman" w:cs="Times New Roman"/>
          <w:b/>
          <w:bCs/>
          <w:sz w:val="24"/>
          <w:szCs w:val="24"/>
          <w:lang w:val="en-US"/>
        </w:rPr>
        <w:t>SARAN</w:t>
      </w:r>
    </w:p>
    <w:p w14:paraId="2DD5F43D" w14:textId="77777777" w:rsidR="00456939" w:rsidRPr="004E2B6D" w:rsidRDefault="00456939" w:rsidP="00935D74">
      <w:pPr>
        <w:spacing w:after="0" w:line="240" w:lineRule="auto"/>
        <w:ind w:firstLine="567"/>
        <w:jc w:val="both"/>
        <w:rPr>
          <w:rFonts w:ascii="Times New Roman" w:hAnsi="Times New Roman" w:cs="Times New Roman"/>
          <w:sz w:val="24"/>
          <w:szCs w:val="24"/>
          <w:lang w:val="en-US"/>
        </w:rPr>
      </w:pPr>
      <w:r w:rsidRPr="004E2B6D">
        <w:rPr>
          <w:rFonts w:ascii="Times New Roman" w:hAnsi="Times New Roman" w:cs="Times New Roman"/>
          <w:sz w:val="24"/>
          <w:szCs w:val="24"/>
          <w:lang w:val="en-US"/>
        </w:rPr>
        <w:t>Peneliti menyarankan b</w:t>
      </w:r>
      <w:r w:rsidRPr="004E2B6D">
        <w:rPr>
          <w:rFonts w:ascii="Times New Roman" w:hAnsi="Times New Roman" w:cs="Times New Roman"/>
          <w:sz w:val="24"/>
          <w:szCs w:val="24"/>
        </w:rPr>
        <w:t>agi RSPAL dr. Ramelan</w:t>
      </w:r>
      <w:r w:rsidRPr="004E2B6D">
        <w:rPr>
          <w:rFonts w:ascii="Times New Roman" w:hAnsi="Times New Roman" w:cs="Times New Roman"/>
          <w:sz w:val="24"/>
          <w:szCs w:val="24"/>
          <w:lang w:val="en-US"/>
        </w:rPr>
        <w:t>, d</w:t>
      </w:r>
      <w:r w:rsidRPr="004E2B6D">
        <w:rPr>
          <w:rFonts w:ascii="Times New Roman" w:hAnsi="Times New Roman" w:cs="Times New Roman"/>
          <w:sz w:val="24"/>
          <w:szCs w:val="24"/>
        </w:rPr>
        <w:t xml:space="preserve">iharapkan </w:t>
      </w:r>
      <w:r w:rsidRPr="004E2B6D">
        <w:rPr>
          <w:rFonts w:ascii="Times New Roman" w:hAnsi="Times New Roman" w:cs="Times New Roman"/>
          <w:sz w:val="24"/>
          <w:szCs w:val="24"/>
          <w:lang w:val="en-US"/>
        </w:rPr>
        <w:t>l</w:t>
      </w:r>
      <w:r w:rsidRPr="004E2B6D">
        <w:rPr>
          <w:rFonts w:ascii="Times New Roman" w:hAnsi="Times New Roman" w:cs="Times New Roman"/>
          <w:sz w:val="24"/>
          <w:szCs w:val="24"/>
        </w:rPr>
        <w:t xml:space="preserve">ebih meningkatkan kualitas pelayanan keperawatan dan efektivitas </w:t>
      </w:r>
      <w:r w:rsidRPr="004E2B6D">
        <w:rPr>
          <w:rFonts w:ascii="Times New Roman" w:hAnsi="Times New Roman" w:cs="Times New Roman"/>
          <w:sz w:val="24"/>
          <w:szCs w:val="24"/>
          <w:lang w:val="en-US"/>
        </w:rPr>
        <w:t>pemberian</w:t>
      </w:r>
      <w:r w:rsidRPr="004E2B6D">
        <w:rPr>
          <w:rFonts w:ascii="Times New Roman" w:hAnsi="Times New Roman" w:cs="Times New Roman"/>
          <w:sz w:val="24"/>
          <w:szCs w:val="24"/>
        </w:rPr>
        <w:t xml:space="preserve"> asuhan keperawatan </w:t>
      </w:r>
      <w:r w:rsidRPr="004E2B6D">
        <w:rPr>
          <w:rFonts w:ascii="Times New Roman" w:hAnsi="Times New Roman" w:cs="Times New Roman"/>
          <w:sz w:val="24"/>
          <w:szCs w:val="24"/>
          <w:lang w:val="en-US"/>
        </w:rPr>
        <w:t>terhadap</w:t>
      </w:r>
      <w:r w:rsidRPr="004E2B6D">
        <w:rPr>
          <w:rFonts w:ascii="Times New Roman" w:hAnsi="Times New Roman" w:cs="Times New Roman"/>
          <w:sz w:val="24"/>
          <w:szCs w:val="24"/>
        </w:rPr>
        <w:t xml:space="preserve"> pasien </w:t>
      </w:r>
      <w:r w:rsidRPr="004E2B6D">
        <w:rPr>
          <w:rFonts w:ascii="Times New Roman" w:hAnsi="Times New Roman" w:cs="Times New Roman"/>
          <w:sz w:val="24"/>
          <w:szCs w:val="24"/>
          <w:lang w:val="en-US"/>
        </w:rPr>
        <w:t>yang akan menjalani</w:t>
      </w:r>
      <w:r w:rsidRPr="004E2B6D">
        <w:rPr>
          <w:rFonts w:ascii="Times New Roman" w:hAnsi="Times New Roman" w:cs="Times New Roman"/>
          <w:sz w:val="24"/>
          <w:szCs w:val="24"/>
        </w:rPr>
        <w:t xml:space="preserve"> operasi dengan cara memberikan pendidikan dan informasi kesehatan</w:t>
      </w:r>
      <w:r w:rsidRPr="004E2B6D">
        <w:rPr>
          <w:rFonts w:ascii="Times New Roman" w:hAnsi="Times New Roman" w:cs="Times New Roman"/>
          <w:sz w:val="24"/>
          <w:szCs w:val="24"/>
          <w:lang w:val="en-US"/>
        </w:rPr>
        <w:t xml:space="preserve">. </w:t>
      </w:r>
    </w:p>
    <w:p w14:paraId="7F4B508C" w14:textId="77777777" w:rsidR="00F42F33" w:rsidRPr="004E2B6D" w:rsidRDefault="00F42F33" w:rsidP="00935D74">
      <w:pPr>
        <w:spacing w:after="0" w:line="240" w:lineRule="auto"/>
        <w:jc w:val="both"/>
        <w:rPr>
          <w:rFonts w:ascii="Times New Roman" w:hAnsi="Times New Roman" w:cs="Times New Roman"/>
          <w:b/>
          <w:bCs/>
          <w:sz w:val="24"/>
          <w:szCs w:val="24"/>
        </w:rPr>
      </w:pPr>
    </w:p>
    <w:p w14:paraId="7D4CEF97" w14:textId="1C5B8D60" w:rsidR="00A65B26" w:rsidRPr="004E2B6D" w:rsidRDefault="00E030DB" w:rsidP="00935D74">
      <w:pPr>
        <w:spacing w:after="0" w:line="240" w:lineRule="auto"/>
        <w:jc w:val="both"/>
        <w:rPr>
          <w:rFonts w:ascii="Times New Roman" w:hAnsi="Times New Roman" w:cs="Times New Roman"/>
          <w:b/>
          <w:bCs/>
          <w:sz w:val="24"/>
          <w:szCs w:val="24"/>
        </w:rPr>
      </w:pPr>
      <w:r w:rsidRPr="004E2B6D">
        <w:rPr>
          <w:rFonts w:ascii="Times New Roman" w:hAnsi="Times New Roman" w:cs="Times New Roman"/>
          <w:b/>
          <w:bCs/>
          <w:sz w:val="24"/>
          <w:szCs w:val="24"/>
        </w:rPr>
        <w:t>DAFTAR PUSTAKA</w:t>
      </w:r>
    </w:p>
    <w:p w14:paraId="5E105281"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4E2B6D">
        <w:rPr>
          <w:rFonts w:ascii="Times New Roman" w:eastAsia="Calibri" w:hAnsi="Times New Roman" w:cs="Times New Roman"/>
          <w:sz w:val="24"/>
          <w:szCs w:val="24"/>
        </w:rPr>
        <w:fldChar w:fldCharType="begin" w:fldLock="1"/>
      </w:r>
      <w:r w:rsidRPr="00B05566">
        <w:rPr>
          <w:rFonts w:ascii="Times New Roman" w:eastAsia="Calibri" w:hAnsi="Times New Roman" w:cs="Times New Roman"/>
          <w:sz w:val="24"/>
          <w:szCs w:val="24"/>
        </w:rPr>
        <w:instrText xml:space="preserve">ADDIN Mendeley Bibliography CSL_BIBLIOGRAPHY </w:instrText>
      </w:r>
      <w:r w:rsidRPr="004E2B6D">
        <w:rPr>
          <w:rFonts w:ascii="Times New Roman" w:eastAsia="Calibri" w:hAnsi="Times New Roman" w:cs="Times New Roman"/>
          <w:sz w:val="24"/>
          <w:szCs w:val="24"/>
        </w:rPr>
        <w:fldChar w:fldCharType="separate"/>
      </w:r>
      <w:r w:rsidRPr="00B05566">
        <w:rPr>
          <w:rFonts w:ascii="Times New Roman" w:eastAsia="Calibri" w:hAnsi="Times New Roman" w:cs="Times New Roman"/>
          <w:noProof/>
          <w:sz w:val="24"/>
          <w:szCs w:val="24"/>
        </w:rPr>
        <w:t xml:space="preserve">Agustini, N. R. S., Swarjana, I. K., Negara, I. K., &amp; Rahyanti, N. M. S. (2022). Faktor-Faktor yang Berhubungan dengan Kecemasan Menghadapi Stigma Masyarakat pada Pasien COVID-19. </w:t>
      </w:r>
      <w:r w:rsidRPr="00B05566">
        <w:rPr>
          <w:rFonts w:ascii="Times New Roman" w:eastAsia="Calibri" w:hAnsi="Times New Roman" w:cs="Times New Roman"/>
          <w:i/>
          <w:iCs/>
          <w:noProof/>
          <w:sz w:val="24"/>
          <w:szCs w:val="24"/>
        </w:rPr>
        <w:t>Jurnal Kesehatan</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13</w:t>
      </w:r>
      <w:r w:rsidRPr="00B05566">
        <w:rPr>
          <w:rFonts w:ascii="Times New Roman" w:eastAsia="Calibri" w:hAnsi="Times New Roman" w:cs="Times New Roman"/>
          <w:noProof/>
          <w:sz w:val="24"/>
          <w:szCs w:val="24"/>
        </w:rPr>
        <w:t>(3), 492–500. http://dx.doi.org/10.26630/jk.v13i3.2842</w:t>
      </w:r>
    </w:p>
    <w:p w14:paraId="3339F51B"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Awaluddin, A. (2020). Hubungan Pendidikan dan Lama Kerja dengan Tingkat Kecemasan Perawat dalam Penanganan Pasien Gawat Darurat di RSUD Sawerigading Kota Palopo Tahun 2019. </w:t>
      </w:r>
      <w:r w:rsidRPr="00B05566">
        <w:rPr>
          <w:rFonts w:ascii="Times New Roman" w:eastAsia="Calibri" w:hAnsi="Times New Roman" w:cs="Times New Roman"/>
          <w:i/>
          <w:iCs/>
          <w:noProof/>
          <w:sz w:val="24"/>
          <w:szCs w:val="24"/>
        </w:rPr>
        <w:t>Jurnal Kesehatan Luwu Raya</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6</w:t>
      </w:r>
      <w:r w:rsidRPr="00B05566">
        <w:rPr>
          <w:rFonts w:ascii="Times New Roman" w:eastAsia="Calibri" w:hAnsi="Times New Roman" w:cs="Times New Roman"/>
          <w:noProof/>
          <w:sz w:val="24"/>
          <w:szCs w:val="24"/>
        </w:rPr>
        <w:t>(2), 5–12. https://jurnalstikesluwuraya.ac.id/index.php/eq/article/view/5</w:t>
      </w:r>
    </w:p>
    <w:p w14:paraId="517CE945"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Cengel, K., &amp; Andsoy, I. I. (2022). The Effect of an Operating Room Nurse Visit on Surgical Patient Anxiety. </w:t>
      </w:r>
      <w:r w:rsidRPr="00B05566">
        <w:rPr>
          <w:rFonts w:ascii="Times New Roman" w:eastAsia="Calibri" w:hAnsi="Times New Roman" w:cs="Times New Roman"/>
          <w:i/>
          <w:iCs/>
          <w:noProof/>
          <w:sz w:val="24"/>
          <w:szCs w:val="24"/>
        </w:rPr>
        <w:t>Journal of Perianesthesia Nursing</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37</w:t>
      </w:r>
      <w:r w:rsidRPr="00B05566">
        <w:rPr>
          <w:rFonts w:ascii="Times New Roman" w:eastAsia="Calibri" w:hAnsi="Times New Roman" w:cs="Times New Roman"/>
          <w:noProof/>
          <w:sz w:val="24"/>
          <w:szCs w:val="24"/>
        </w:rPr>
        <w:t>(1), 80–85. https://doi.org/10.1016/j.jopan.2021.06.004</w:t>
      </w:r>
    </w:p>
    <w:p w14:paraId="400DDB73"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Danu, V. K., Ningsih, O. S., &amp; Suryati, Y. (2021). Faktor-Faktor yang Mempengaruhi </w:t>
      </w:r>
      <w:r w:rsidRPr="00B05566">
        <w:rPr>
          <w:rFonts w:ascii="Times New Roman" w:eastAsia="Calibri" w:hAnsi="Times New Roman" w:cs="Times New Roman"/>
          <w:noProof/>
          <w:sz w:val="24"/>
          <w:szCs w:val="24"/>
        </w:rPr>
        <w:lastRenderedPageBreak/>
        <w:t xml:space="preserve">Kecemasan Perawat selama Pandemi COVID-19 di Kabupaten Manggarai. </w:t>
      </w:r>
      <w:r w:rsidRPr="00B05566">
        <w:rPr>
          <w:rFonts w:ascii="Times New Roman" w:eastAsia="Calibri" w:hAnsi="Times New Roman" w:cs="Times New Roman"/>
          <w:i/>
          <w:iCs/>
          <w:noProof/>
          <w:sz w:val="24"/>
          <w:szCs w:val="24"/>
        </w:rPr>
        <w:t>Jurnal Wawasan Kesehatan</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6</w:t>
      </w:r>
      <w:r w:rsidRPr="00B05566">
        <w:rPr>
          <w:rFonts w:ascii="Times New Roman" w:eastAsia="Calibri" w:hAnsi="Times New Roman" w:cs="Times New Roman"/>
          <w:noProof/>
          <w:sz w:val="24"/>
          <w:szCs w:val="24"/>
        </w:rPr>
        <w:t>(1), 21-31.</w:t>
      </w:r>
      <w:r w:rsidRPr="00B05566">
        <w:rPr>
          <w:rFonts w:ascii="Times New Roman" w:eastAsia="Calibri" w:hAnsi="Times New Roman" w:cs="Times New Roman"/>
        </w:rPr>
        <w:t xml:space="preserve"> </w:t>
      </w:r>
      <w:r w:rsidRPr="00B05566">
        <w:rPr>
          <w:rFonts w:ascii="Times New Roman" w:eastAsia="Calibri" w:hAnsi="Times New Roman" w:cs="Times New Roman"/>
          <w:noProof/>
          <w:sz w:val="24"/>
          <w:szCs w:val="24"/>
        </w:rPr>
        <w:t>https://stikessantupaulus.e-journal.id/JWK/article/view/115</w:t>
      </w:r>
    </w:p>
    <w:p w14:paraId="6EA8AD61"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Daryanti, E., &amp; Mardiana, F. (2020). Efektifitas Hypnotherapy dalam Mengurangi Tingkat Kecemasan Pasien Pre Operasi Hernia di RS TNI AU Dr. M Salamun Bandung 2019. </w:t>
      </w:r>
      <w:r w:rsidRPr="00B05566">
        <w:rPr>
          <w:rFonts w:ascii="Times New Roman" w:eastAsia="Calibri" w:hAnsi="Times New Roman" w:cs="Times New Roman"/>
          <w:i/>
          <w:iCs/>
          <w:noProof/>
          <w:sz w:val="24"/>
          <w:szCs w:val="24"/>
        </w:rPr>
        <w:t>Jurnal Keperawatan &amp; Kebidanan</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4</w:t>
      </w:r>
      <w:r w:rsidRPr="00B05566">
        <w:rPr>
          <w:rFonts w:ascii="Times New Roman" w:eastAsia="Calibri" w:hAnsi="Times New Roman" w:cs="Times New Roman"/>
          <w:noProof/>
          <w:sz w:val="24"/>
          <w:szCs w:val="24"/>
        </w:rPr>
        <w:t>(1), 24–33.</w:t>
      </w:r>
      <w:r w:rsidRPr="00B05566">
        <w:rPr>
          <w:rFonts w:ascii="Times New Roman" w:eastAsia="Calibri" w:hAnsi="Times New Roman" w:cs="Times New Roman"/>
        </w:rPr>
        <w:t xml:space="preserve"> </w:t>
      </w:r>
      <w:r w:rsidRPr="00B05566">
        <w:rPr>
          <w:rFonts w:ascii="Times New Roman" w:eastAsia="Calibri" w:hAnsi="Times New Roman" w:cs="Times New Roman"/>
          <w:noProof/>
          <w:sz w:val="24"/>
          <w:szCs w:val="24"/>
        </w:rPr>
        <w:t>https://doi.org/10.54440/jmk.v4i1.97</w:t>
      </w:r>
    </w:p>
    <w:p w14:paraId="581063F0"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Dincer, B., &amp; Inangil, D. (2021). The Effect of Emotional Freedom Techniques on Nurses’ Stress, Anxiety, and Burnout Levels During the COVID-19 Pandemic: A Randomized Controlled Trial. </w:t>
      </w:r>
      <w:r w:rsidRPr="00B05566">
        <w:rPr>
          <w:rFonts w:ascii="Times New Roman" w:eastAsia="Calibri" w:hAnsi="Times New Roman" w:cs="Times New Roman"/>
          <w:i/>
          <w:iCs/>
          <w:noProof/>
          <w:sz w:val="24"/>
          <w:szCs w:val="24"/>
        </w:rPr>
        <w:t>Explore</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17</w:t>
      </w:r>
      <w:r w:rsidRPr="00B05566">
        <w:rPr>
          <w:rFonts w:ascii="Times New Roman" w:eastAsia="Calibri" w:hAnsi="Times New Roman" w:cs="Times New Roman"/>
          <w:noProof/>
          <w:sz w:val="24"/>
          <w:szCs w:val="24"/>
        </w:rPr>
        <w:t>(2), 109–114. https://doi.org/10.1016/j.explore.2020.11.012</w:t>
      </w:r>
    </w:p>
    <w:p w14:paraId="07D6D837"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Fatmawati, L., &amp; Pawestri, P. (2021). Penurunan Tingkat Kecemasan pada Pasien Pre Operasi Sectio Caesarea dengan Terapi Murotal dan Edukasi Pre Operasi. </w:t>
      </w:r>
      <w:r w:rsidRPr="00B05566">
        <w:rPr>
          <w:rFonts w:ascii="Times New Roman" w:eastAsia="Calibri" w:hAnsi="Times New Roman" w:cs="Times New Roman"/>
          <w:i/>
          <w:iCs/>
          <w:noProof/>
          <w:sz w:val="24"/>
          <w:szCs w:val="24"/>
        </w:rPr>
        <w:t>Holistic Nursing Care Approach</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1</w:t>
      </w:r>
      <w:r w:rsidRPr="00B05566">
        <w:rPr>
          <w:rFonts w:ascii="Times New Roman" w:eastAsia="Calibri" w:hAnsi="Times New Roman" w:cs="Times New Roman"/>
          <w:noProof/>
          <w:sz w:val="24"/>
          <w:szCs w:val="24"/>
        </w:rPr>
        <w:t>(1), 25-32. https://doi.org/10.26714/hnca.v1i1.8263</w:t>
      </w:r>
    </w:p>
    <w:p w14:paraId="58316A47"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Fortuna, A. D., Saputri, M. E., &amp; Wowor, T. J. F. (2022). Faktor – Faktor yang Berhubungan dengan Tingkat Kecemasan Warga pada Masa Pandemi COVID-19 Tahun 2021 di Kecamatan Sukmajaya Kota Depok. </w:t>
      </w:r>
      <w:r w:rsidRPr="00B05566">
        <w:rPr>
          <w:rFonts w:ascii="Times New Roman" w:eastAsia="Calibri" w:hAnsi="Times New Roman" w:cs="Times New Roman"/>
          <w:i/>
          <w:noProof/>
          <w:sz w:val="24"/>
          <w:szCs w:val="24"/>
        </w:rPr>
        <w:t xml:space="preserve">E-Journal </w:t>
      </w:r>
      <w:r w:rsidRPr="00B05566">
        <w:rPr>
          <w:rFonts w:ascii="Times New Roman" w:eastAsia="Calibri" w:hAnsi="Times New Roman" w:cs="Times New Roman"/>
          <w:i/>
          <w:iCs/>
          <w:noProof/>
          <w:sz w:val="24"/>
          <w:szCs w:val="24"/>
        </w:rPr>
        <w:t>Keperawatan</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10</w:t>
      </w:r>
      <w:r w:rsidRPr="00B05566">
        <w:rPr>
          <w:rFonts w:ascii="Times New Roman" w:eastAsia="Calibri" w:hAnsi="Times New Roman" w:cs="Times New Roman"/>
          <w:noProof/>
          <w:sz w:val="24"/>
          <w:szCs w:val="24"/>
        </w:rPr>
        <w:t>(1), 34-44. https://doi.org/10.35790/jkp.v10i1.38850</w:t>
      </w:r>
    </w:p>
    <w:p w14:paraId="7AC71DC0" w14:textId="77777777" w:rsidR="00B05566" w:rsidRPr="00B05566" w:rsidRDefault="00B05566" w:rsidP="00B05566">
      <w:pPr>
        <w:widowControl w:val="0"/>
        <w:tabs>
          <w:tab w:val="left" w:pos="2410"/>
        </w:tabs>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Gerliandi, G. B., Maniatunufus, M., Pratiwi, R. D. N., &amp; Agustina, H. S. (2021). Intervensi Non-Farmakologis untuk Mengurangi Kecemasan pada Mahasiswa: Sebuah Narrative Review. </w:t>
      </w:r>
      <w:r w:rsidRPr="00B05566">
        <w:rPr>
          <w:rFonts w:ascii="Times New Roman" w:eastAsia="Calibri" w:hAnsi="Times New Roman" w:cs="Times New Roman"/>
          <w:i/>
          <w:iCs/>
          <w:noProof/>
          <w:sz w:val="24"/>
          <w:szCs w:val="24"/>
        </w:rPr>
        <w:t>Jurnal Keperawatan BSI</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9</w:t>
      </w:r>
      <w:r w:rsidRPr="00B05566">
        <w:rPr>
          <w:rFonts w:ascii="Times New Roman" w:eastAsia="Calibri" w:hAnsi="Times New Roman" w:cs="Times New Roman"/>
          <w:noProof/>
          <w:sz w:val="24"/>
          <w:szCs w:val="24"/>
        </w:rPr>
        <w:t>(2), 234–245. https://ejurnal.ars.ac.id/index.php/keperawatan/article/view/624</w:t>
      </w:r>
    </w:p>
    <w:p w14:paraId="43CD4789"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Istiarini, C. H., Osa, E. P., Ede, M. T. I., Kaza, Y. M., &amp; Yuspitasari, Y. (2021). Intervensi Keperawatan Kecemasan pada Pasien Pre Operasi: Literatur Review. </w:t>
      </w:r>
      <w:r w:rsidRPr="00B05566">
        <w:rPr>
          <w:rFonts w:ascii="Times New Roman" w:eastAsia="Calibri" w:hAnsi="Times New Roman" w:cs="Times New Roman"/>
          <w:i/>
          <w:iCs/>
          <w:noProof/>
          <w:sz w:val="24"/>
          <w:szCs w:val="24"/>
        </w:rPr>
        <w:t>Medika Respati : Jurnal Ilmiah Kesehatan</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16</w:t>
      </w:r>
      <w:r w:rsidRPr="00B05566">
        <w:rPr>
          <w:rFonts w:ascii="Times New Roman" w:eastAsia="Calibri" w:hAnsi="Times New Roman" w:cs="Times New Roman"/>
          <w:noProof/>
          <w:sz w:val="24"/>
          <w:szCs w:val="24"/>
        </w:rPr>
        <w:t>(2), 95–106. http://medika.respati.ac.id/index.php/Medika/article/view/313</w:t>
      </w:r>
    </w:p>
    <w:p w14:paraId="353E251E"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Lestianti, I., Utami, G. T., &amp; Utami, S. (2020). Pengaruh Terapi Spiritual terhadap Tingkat Kecemasan Pasien Pre-Operasi : Literature Review. </w:t>
      </w:r>
      <w:r w:rsidRPr="00B05566">
        <w:rPr>
          <w:rFonts w:ascii="Times New Roman" w:eastAsia="Calibri" w:hAnsi="Times New Roman" w:cs="Times New Roman"/>
          <w:i/>
          <w:iCs/>
          <w:noProof/>
          <w:sz w:val="24"/>
          <w:szCs w:val="24"/>
        </w:rPr>
        <w:t>JOM FKP</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7</w:t>
      </w:r>
      <w:r w:rsidRPr="00B05566">
        <w:rPr>
          <w:rFonts w:ascii="Times New Roman" w:eastAsia="Calibri" w:hAnsi="Times New Roman" w:cs="Times New Roman"/>
          <w:noProof/>
          <w:sz w:val="24"/>
          <w:szCs w:val="24"/>
        </w:rPr>
        <w:t>(2), 79–88. https://jom.unri.ac.id/index.php/JOMPSIK/article/view/28224/27200</w:t>
      </w:r>
    </w:p>
    <w:p w14:paraId="2C22BB47"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Lismayanti, L., Gandiny, E. D., Fitriani, A., Srinayanti, Y., &amp; Suhanda, S. (2022). Teknik Relaksasi untuk Menurunkan Kecemasan pada Pasien Pre-post Operasi Tumor Mammae Sinistra. </w:t>
      </w:r>
      <w:r w:rsidRPr="00B05566">
        <w:rPr>
          <w:rFonts w:ascii="Times New Roman" w:eastAsia="Calibri" w:hAnsi="Times New Roman" w:cs="Times New Roman"/>
          <w:i/>
          <w:iCs/>
          <w:noProof/>
          <w:sz w:val="24"/>
          <w:szCs w:val="24"/>
        </w:rPr>
        <w:t>Indogenius</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1</w:t>
      </w:r>
      <w:r w:rsidRPr="00B05566">
        <w:rPr>
          <w:rFonts w:ascii="Times New Roman" w:eastAsia="Calibri" w:hAnsi="Times New Roman" w:cs="Times New Roman"/>
          <w:noProof/>
          <w:sz w:val="24"/>
          <w:szCs w:val="24"/>
        </w:rPr>
        <w:t>(2), 58–66. https://doi.org/10.56359/igj.v1i2.66</w:t>
      </w:r>
    </w:p>
    <w:p w14:paraId="4B77624B"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Naim, A., &amp; Sugiyanto, S. (2021). Faktor-Faktor yang Mempengaruhi Tingkat Kecemasan Pasien yang akan di Pasangkan Infus di UGD Puskesmas Sabbang. </w:t>
      </w:r>
      <w:r w:rsidRPr="00B05566">
        <w:rPr>
          <w:rFonts w:ascii="Times New Roman" w:eastAsia="Calibri" w:hAnsi="Times New Roman" w:cs="Times New Roman"/>
          <w:i/>
          <w:iCs/>
          <w:noProof/>
          <w:sz w:val="24"/>
          <w:szCs w:val="24"/>
        </w:rPr>
        <w:t>Jurnal Kesehatan Luwu Raya</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8</w:t>
      </w:r>
      <w:r w:rsidRPr="00B05566">
        <w:rPr>
          <w:rFonts w:ascii="Times New Roman" w:eastAsia="Calibri" w:hAnsi="Times New Roman" w:cs="Times New Roman"/>
          <w:noProof/>
          <w:sz w:val="24"/>
          <w:szCs w:val="24"/>
        </w:rPr>
        <w:t>(1), 85–92. https://jurnalstikesluwuraya.ac.id/index.php/eq/article/view/92</w:t>
      </w:r>
    </w:p>
    <w:p w14:paraId="3E02A65F"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Patantan, R. I., Romantika, I. W., Narmawan, &amp; Andas, A. M. (2022). Hubungan Pengalaman dan Lama Rawat dengan Kecemasan RS Benyamin Guluh Kolaka </w:t>
      </w:r>
      <w:r w:rsidRPr="00B05566">
        <w:rPr>
          <w:rFonts w:ascii="Times New Roman" w:eastAsia="Calibri" w:hAnsi="Times New Roman" w:cs="Times New Roman"/>
          <w:i/>
          <w:iCs/>
          <w:noProof/>
          <w:sz w:val="24"/>
          <w:szCs w:val="24"/>
        </w:rPr>
        <w:t>Jurnal Surya Medika</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8</w:t>
      </w:r>
      <w:r w:rsidRPr="00B05566">
        <w:rPr>
          <w:rFonts w:ascii="Times New Roman" w:eastAsia="Calibri" w:hAnsi="Times New Roman" w:cs="Times New Roman"/>
          <w:noProof/>
          <w:sz w:val="24"/>
          <w:szCs w:val="24"/>
        </w:rPr>
        <w:t>(3), 263-267. https://journal.umpr.ac.id/index.php/jsm/article/view/4520/2933</w:t>
      </w:r>
    </w:p>
    <w:p w14:paraId="06B55D29"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Putri, S. B., Darmayanti, A., &amp; Dewi, N. P. (2021). Hubungan Tingkat Kecemasan Preoperatif dengan Karakteristik Pasien di Kamar Operasi RSI Siti Rahmah. </w:t>
      </w:r>
      <w:r w:rsidRPr="00B05566">
        <w:rPr>
          <w:rFonts w:ascii="Times New Roman" w:eastAsia="Calibri" w:hAnsi="Times New Roman" w:cs="Times New Roman"/>
          <w:i/>
          <w:iCs/>
          <w:noProof/>
          <w:sz w:val="24"/>
          <w:szCs w:val="24"/>
        </w:rPr>
        <w:t>Baiturrahmah Medical Journal</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1</w:t>
      </w:r>
      <w:r w:rsidRPr="00B05566">
        <w:rPr>
          <w:rFonts w:ascii="Times New Roman" w:eastAsia="Calibri" w:hAnsi="Times New Roman" w:cs="Times New Roman"/>
          <w:noProof/>
          <w:sz w:val="24"/>
          <w:szCs w:val="24"/>
        </w:rPr>
        <w:t>(2), 11–25. https://jurnal.unbrah.ac.id/index.php/brmj/article/view/995</w:t>
      </w:r>
    </w:p>
    <w:p w14:paraId="76C3AEC8"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Rousseaux, F., Faymonville, M., Nyssen, A., Dardenne, N., Ledoux, D., Massion, P. B., &amp; Vanhaudenhuyse, A. (2020). Can Hypnosis and Virtual Reality Reduce Anxiety, Pain and Fatigue among Patients who Undergo Cardiac Surgery: A </w:t>
      </w:r>
      <w:r w:rsidRPr="00B05566">
        <w:rPr>
          <w:rFonts w:ascii="Times New Roman" w:eastAsia="Calibri" w:hAnsi="Times New Roman" w:cs="Times New Roman"/>
          <w:noProof/>
          <w:sz w:val="24"/>
          <w:szCs w:val="24"/>
        </w:rPr>
        <w:lastRenderedPageBreak/>
        <w:t xml:space="preserve">Randomised Controlled Trial. </w:t>
      </w:r>
      <w:r w:rsidRPr="00B05566">
        <w:rPr>
          <w:rFonts w:ascii="Times New Roman" w:eastAsia="Calibri" w:hAnsi="Times New Roman" w:cs="Times New Roman"/>
          <w:i/>
          <w:iCs/>
          <w:noProof/>
          <w:sz w:val="24"/>
          <w:szCs w:val="24"/>
        </w:rPr>
        <w:t>Trials</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21</w:t>
      </w:r>
      <w:r w:rsidRPr="00B05566">
        <w:rPr>
          <w:rFonts w:ascii="Times New Roman" w:eastAsia="Calibri" w:hAnsi="Times New Roman" w:cs="Times New Roman"/>
          <w:noProof/>
          <w:sz w:val="24"/>
          <w:szCs w:val="24"/>
        </w:rPr>
        <w:t>, 1–9. https://doi.org/10.1186/s13063-020-4222-6</w:t>
      </w:r>
    </w:p>
    <w:p w14:paraId="4C151409"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Sari,  Y. P., Riasmini,  N. M., &amp; Guslinda, G. (2020). Analisis Faktor-faktor yang Berhubungan dengan Tingkat Kecemasan pada Pasien Preoperasi Bedah Mayor di Ruang Teratai. </w:t>
      </w:r>
      <w:r w:rsidRPr="00B05566">
        <w:rPr>
          <w:rFonts w:ascii="Times New Roman" w:eastAsia="Calibri" w:hAnsi="Times New Roman" w:cs="Times New Roman"/>
          <w:i/>
          <w:noProof/>
          <w:sz w:val="24"/>
          <w:szCs w:val="24"/>
        </w:rPr>
        <w:t xml:space="preserve">Jurnal Penelitian dan Kajian Ilmiah </w:t>
      </w:r>
      <w:r w:rsidRPr="00B05566">
        <w:rPr>
          <w:rFonts w:ascii="Times New Roman" w:eastAsia="Calibri" w:hAnsi="Times New Roman" w:cs="Times New Roman"/>
          <w:i/>
          <w:iCs/>
          <w:noProof/>
          <w:sz w:val="24"/>
          <w:szCs w:val="24"/>
        </w:rPr>
        <w:t>Menara Ilmu</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15</w:t>
      </w:r>
      <w:r w:rsidRPr="00B05566">
        <w:rPr>
          <w:rFonts w:ascii="Times New Roman" w:eastAsia="Calibri" w:hAnsi="Times New Roman" w:cs="Times New Roman"/>
          <w:iCs/>
          <w:noProof/>
          <w:sz w:val="24"/>
          <w:szCs w:val="24"/>
        </w:rPr>
        <w:t>(2)</w:t>
      </w:r>
      <w:r w:rsidRPr="00B05566">
        <w:rPr>
          <w:rFonts w:ascii="Times New Roman" w:eastAsia="Calibri" w:hAnsi="Times New Roman" w:cs="Times New Roman"/>
          <w:noProof/>
          <w:sz w:val="24"/>
          <w:szCs w:val="24"/>
        </w:rPr>
        <w:t>, 133–147. https://doi.org/10.31869/mi.v14i2.2176</w:t>
      </w:r>
    </w:p>
    <w:p w14:paraId="5FAE6DF7"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Sitinjak, M. P., Dewi, D. A. M. S., &amp; Sidemen, I. G. P. S. (2022). Gambaran Tingkat Kecemasan Pasien Pre Operasi Pembedahan Ortopedi di Rumah Sakit Umum Pusat Sanglah. </w:t>
      </w:r>
      <w:r w:rsidRPr="00B05566">
        <w:rPr>
          <w:rFonts w:ascii="Times New Roman" w:eastAsia="Calibri" w:hAnsi="Times New Roman" w:cs="Times New Roman"/>
          <w:i/>
          <w:iCs/>
          <w:noProof/>
          <w:sz w:val="24"/>
          <w:szCs w:val="24"/>
        </w:rPr>
        <w:t>Jurnal Medika Udayana</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11</w:t>
      </w:r>
      <w:r w:rsidRPr="00B05566">
        <w:rPr>
          <w:rFonts w:ascii="Times New Roman" w:eastAsia="Calibri" w:hAnsi="Times New Roman" w:cs="Times New Roman"/>
          <w:noProof/>
          <w:sz w:val="24"/>
          <w:szCs w:val="24"/>
        </w:rPr>
        <w:t>(2), 25-29. https://doi.org/10.24843/MU.2022.v11.i02.p05</w:t>
      </w:r>
    </w:p>
    <w:p w14:paraId="41BD8E9F"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szCs w:val="24"/>
        </w:rPr>
      </w:pPr>
      <w:r w:rsidRPr="00B05566">
        <w:rPr>
          <w:rFonts w:ascii="Times New Roman" w:eastAsia="Calibri" w:hAnsi="Times New Roman" w:cs="Times New Roman"/>
          <w:noProof/>
          <w:sz w:val="24"/>
          <w:szCs w:val="24"/>
        </w:rPr>
        <w:t xml:space="preserve">Talebiazar, N., Choobianzali, B., Hassanpour, A., Goli, R., Shakorzadeh, S., &amp; Ghalandari, M. (2022). The Effect of Hypnotherapy on the Hospital Anxiety in Three Children with Cancer: A Case Report. </w:t>
      </w:r>
      <w:r w:rsidRPr="00B05566">
        <w:rPr>
          <w:rFonts w:ascii="Times New Roman" w:eastAsia="Calibri" w:hAnsi="Times New Roman" w:cs="Times New Roman"/>
          <w:i/>
          <w:iCs/>
          <w:noProof/>
          <w:sz w:val="24"/>
          <w:szCs w:val="24"/>
        </w:rPr>
        <w:t>International Journal of Surgery Case Reports</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93</w:t>
      </w:r>
      <w:r w:rsidRPr="00B05566">
        <w:rPr>
          <w:rFonts w:ascii="Times New Roman" w:eastAsia="Calibri" w:hAnsi="Times New Roman" w:cs="Times New Roman"/>
          <w:noProof/>
          <w:sz w:val="24"/>
          <w:szCs w:val="24"/>
        </w:rPr>
        <w:t>. https://doi.org/10.1016/j.ijscr.2022.106961</w:t>
      </w:r>
    </w:p>
    <w:p w14:paraId="20154733" w14:textId="77777777" w:rsidR="00B05566" w:rsidRPr="00B05566" w:rsidRDefault="00B05566" w:rsidP="00B05566">
      <w:pPr>
        <w:widowControl w:val="0"/>
        <w:autoSpaceDE w:val="0"/>
        <w:autoSpaceDN w:val="0"/>
        <w:adjustRightInd w:val="0"/>
        <w:spacing w:after="0" w:line="240" w:lineRule="auto"/>
        <w:ind w:left="567" w:hanging="567"/>
        <w:jc w:val="both"/>
        <w:rPr>
          <w:rFonts w:ascii="Times New Roman" w:eastAsia="Calibri" w:hAnsi="Times New Roman" w:cs="Times New Roman"/>
          <w:noProof/>
          <w:sz w:val="24"/>
        </w:rPr>
      </w:pPr>
      <w:r w:rsidRPr="00B05566">
        <w:rPr>
          <w:rFonts w:ascii="Times New Roman" w:eastAsia="Calibri" w:hAnsi="Times New Roman" w:cs="Times New Roman"/>
          <w:noProof/>
          <w:sz w:val="24"/>
          <w:szCs w:val="24"/>
        </w:rPr>
        <w:t xml:space="preserve">Widiyanti, P. P., &amp; Rahmandani, A. (2020). Hubungan Persepsi terhadap Dukungan Keluarga dengan Tingkat Kecemasan Penderita Penyakit Jantung. </w:t>
      </w:r>
      <w:r w:rsidRPr="00B05566">
        <w:rPr>
          <w:rFonts w:ascii="Times New Roman" w:eastAsia="Calibri" w:hAnsi="Times New Roman" w:cs="Times New Roman"/>
          <w:i/>
          <w:iCs/>
          <w:noProof/>
          <w:sz w:val="24"/>
          <w:szCs w:val="24"/>
        </w:rPr>
        <w:t>Jurnal EMPATI</w:t>
      </w:r>
      <w:r w:rsidRPr="00B05566">
        <w:rPr>
          <w:rFonts w:ascii="Times New Roman" w:eastAsia="Calibri" w:hAnsi="Times New Roman" w:cs="Times New Roman"/>
          <w:noProof/>
          <w:sz w:val="24"/>
          <w:szCs w:val="24"/>
        </w:rPr>
        <w:t xml:space="preserve">, </w:t>
      </w:r>
      <w:r w:rsidRPr="00B05566">
        <w:rPr>
          <w:rFonts w:ascii="Times New Roman" w:eastAsia="Calibri" w:hAnsi="Times New Roman" w:cs="Times New Roman"/>
          <w:i/>
          <w:iCs/>
          <w:noProof/>
          <w:sz w:val="24"/>
          <w:szCs w:val="24"/>
        </w:rPr>
        <w:t>10</w:t>
      </w:r>
      <w:r w:rsidRPr="00B05566">
        <w:rPr>
          <w:rFonts w:ascii="Times New Roman" w:eastAsia="Calibri" w:hAnsi="Times New Roman" w:cs="Times New Roman"/>
          <w:noProof/>
          <w:sz w:val="24"/>
          <w:szCs w:val="24"/>
        </w:rPr>
        <w:t>(2), 107–113. https://doi.org/10.14710/empati.2020.27697</w:t>
      </w:r>
    </w:p>
    <w:p w14:paraId="0E07D598" w14:textId="6B593668" w:rsidR="00E030DB" w:rsidRPr="004E2B6D" w:rsidRDefault="00B05566" w:rsidP="00B05566">
      <w:pPr>
        <w:spacing w:after="0" w:line="240" w:lineRule="auto"/>
        <w:ind w:left="567" w:hanging="567"/>
        <w:jc w:val="both"/>
        <w:rPr>
          <w:rFonts w:ascii="Times New Roman" w:hAnsi="Times New Roman" w:cs="Times New Roman"/>
          <w:sz w:val="24"/>
          <w:szCs w:val="24"/>
        </w:rPr>
      </w:pPr>
      <w:r w:rsidRPr="004E2B6D">
        <w:rPr>
          <w:rFonts w:ascii="Times New Roman" w:eastAsia="Calibri" w:hAnsi="Times New Roman" w:cs="Times New Roman"/>
          <w:sz w:val="24"/>
          <w:szCs w:val="24"/>
        </w:rPr>
        <w:fldChar w:fldCharType="end"/>
      </w:r>
    </w:p>
    <w:sectPr w:rsidR="00E030DB" w:rsidRPr="004E2B6D" w:rsidSect="007538AA">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pgNumType w:start="49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6BF8D" w14:textId="77777777" w:rsidR="00C65EAA" w:rsidRDefault="00C65EAA" w:rsidP="00A65B26">
      <w:pPr>
        <w:spacing w:after="0" w:line="240" w:lineRule="auto"/>
      </w:pPr>
      <w:r>
        <w:separator/>
      </w:r>
    </w:p>
  </w:endnote>
  <w:endnote w:type="continuationSeparator" w:id="0">
    <w:p w14:paraId="4864809B" w14:textId="77777777" w:rsidR="00C65EAA" w:rsidRDefault="00C65EAA" w:rsidP="00A6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35946" w14:textId="77777777" w:rsidR="00B01219" w:rsidRDefault="00B012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579997"/>
      <w:docPartObj>
        <w:docPartGallery w:val="Page Numbers (Bottom of Page)"/>
        <w:docPartUnique/>
      </w:docPartObj>
    </w:sdtPr>
    <w:sdtEndPr>
      <w:rPr>
        <w:noProof/>
      </w:rPr>
    </w:sdtEndPr>
    <w:sdtContent>
      <w:p w14:paraId="1D3B1D07" w14:textId="34003AC2" w:rsidR="007538AA" w:rsidRDefault="007538AA">
        <w:pPr>
          <w:pStyle w:val="Footer"/>
          <w:jc w:val="center"/>
        </w:pPr>
        <w:r>
          <w:fldChar w:fldCharType="begin"/>
        </w:r>
        <w:r w:rsidRPr="007538AA">
          <w:instrText xml:space="preserve"> PAGE   \* MERGEFORMAT </w:instrText>
        </w:r>
        <w:r>
          <w:fldChar w:fldCharType="separate"/>
        </w:r>
        <w:r w:rsidR="00061694">
          <w:rPr>
            <w:noProof/>
          </w:rPr>
          <w:t>502</w:t>
        </w:r>
        <w:r>
          <w:rPr>
            <w:noProof/>
          </w:rPr>
          <w:fldChar w:fldCharType="end"/>
        </w:r>
      </w:p>
    </w:sdtContent>
  </w:sdt>
  <w:p w14:paraId="11FF051D" w14:textId="77777777" w:rsidR="00207875" w:rsidRPr="00482809" w:rsidRDefault="00C65EAA" w:rsidP="00771907">
    <w:pPr>
      <w:pStyle w:val="Footer"/>
      <w:tabs>
        <w:tab w:val="clear" w:pos="4513"/>
        <w:tab w:val="clear" w:pos="9026"/>
      </w:tabs>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73522"/>
      <w:docPartObj>
        <w:docPartGallery w:val="Page Numbers (Bottom of Page)"/>
        <w:docPartUnique/>
      </w:docPartObj>
    </w:sdtPr>
    <w:sdtEndPr>
      <w:rPr>
        <w:noProof/>
      </w:rPr>
    </w:sdtEndPr>
    <w:sdtContent>
      <w:p w14:paraId="6B3F181D" w14:textId="34607910" w:rsidR="007538AA" w:rsidRDefault="007538AA">
        <w:pPr>
          <w:pStyle w:val="Footer"/>
          <w:jc w:val="center"/>
        </w:pPr>
        <w:r>
          <w:fldChar w:fldCharType="begin"/>
        </w:r>
        <w:r w:rsidRPr="007538AA">
          <w:instrText xml:space="preserve"> PAGE   \* MERGEFORMAT </w:instrText>
        </w:r>
        <w:r>
          <w:fldChar w:fldCharType="separate"/>
        </w:r>
        <w:r w:rsidR="00061694">
          <w:rPr>
            <w:noProof/>
          </w:rPr>
          <w:t>494</w:t>
        </w:r>
        <w:r>
          <w:rPr>
            <w:noProof/>
          </w:rPr>
          <w:fldChar w:fldCharType="end"/>
        </w:r>
      </w:p>
    </w:sdtContent>
  </w:sdt>
  <w:p w14:paraId="303A5EF5" w14:textId="77777777" w:rsidR="00F03C14" w:rsidRPr="00A7561E" w:rsidRDefault="00C65EAA">
    <w:pPr>
      <w:pStyle w:val="Footer"/>
      <w:rPr>
        <w:rFonts w:asciiTheme="majorHAnsi" w:hAnsiTheme="maj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169C2" w14:textId="77777777" w:rsidR="00C65EAA" w:rsidRDefault="00C65EAA" w:rsidP="00A65B26">
      <w:pPr>
        <w:spacing w:after="0" w:line="240" w:lineRule="auto"/>
      </w:pPr>
      <w:r>
        <w:separator/>
      </w:r>
    </w:p>
  </w:footnote>
  <w:footnote w:type="continuationSeparator" w:id="0">
    <w:p w14:paraId="52B64BA7" w14:textId="77777777" w:rsidR="00C65EAA" w:rsidRDefault="00C65EAA" w:rsidP="00A6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7A272" w14:textId="77777777" w:rsidR="00B01219" w:rsidRDefault="00B012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2BA14" w14:textId="18F67875" w:rsidR="00CD471D" w:rsidRDefault="00CD471D" w:rsidP="00CD471D">
    <w:pPr>
      <w:pStyle w:val="Header"/>
      <w:jc w:val="right"/>
    </w:pPr>
    <w:r>
      <w:rPr>
        <w:rFonts w:eastAsia="Batang"/>
        <w:noProof/>
        <w:color w:val="000000"/>
        <w:sz w:val="20"/>
        <w:szCs w:val="24"/>
        <w:lang w:eastAsia="ko-KR"/>
      </w:rPr>
      <w:t>2023. Journa</w:t>
    </w:r>
    <w:r>
      <w:rPr>
        <w:rFonts w:eastAsia="Batang"/>
        <w:noProof/>
        <w:color w:val="000000"/>
        <w:sz w:val="20"/>
        <w:szCs w:val="24"/>
        <w:lang w:val="en-US" w:eastAsia="ko-KR"/>
      </w:rPr>
      <w:t>l</w:t>
    </w:r>
    <w:r w:rsidRPr="004F3B0D">
      <w:rPr>
        <w:rFonts w:eastAsia="Batang"/>
        <w:noProof/>
        <w:color w:val="000000"/>
        <w:sz w:val="20"/>
        <w:szCs w:val="24"/>
        <w:lang w:eastAsia="ko-KR"/>
      </w:rPr>
      <w:t xml:space="preserve"> of Telenursing (JOTING) 5 (1) </w:t>
    </w:r>
    <w:r>
      <w:rPr>
        <w:rFonts w:eastAsia="Batang"/>
        <w:noProof/>
        <w:color w:val="000000"/>
        <w:sz w:val="20"/>
        <w:szCs w:val="24"/>
        <w:lang w:val="en-ID" w:eastAsia="ko-KR"/>
      </w:rPr>
      <w:t>48</w:t>
    </w:r>
    <w:r w:rsidR="00FC4419">
      <w:rPr>
        <w:rFonts w:eastAsia="Batang"/>
        <w:noProof/>
        <w:color w:val="000000"/>
        <w:sz w:val="20"/>
        <w:szCs w:val="24"/>
        <w:lang w:val="en-ID" w:eastAsia="ko-KR"/>
      </w:rPr>
      <w:t>1-502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CA497" w14:textId="75199A42" w:rsidR="00CD471D" w:rsidRPr="00CD471D" w:rsidRDefault="00CD471D" w:rsidP="00CD471D">
    <w:pPr>
      <w:widowControl w:val="0"/>
      <w:autoSpaceDE w:val="0"/>
      <w:autoSpaceDN w:val="0"/>
      <w:spacing w:after="0" w:line="240" w:lineRule="auto"/>
      <w:jc w:val="both"/>
      <w:rPr>
        <w:rFonts w:ascii="Times New Roman" w:eastAsia="Calibri" w:hAnsi="Times New Roman" w:cs="Times New Roman"/>
        <w:sz w:val="24"/>
        <w:lang w:val="id-ID"/>
      </w:rPr>
    </w:pPr>
    <w:r>
      <w:rPr>
        <w:rFonts w:ascii="Calibri" w:eastAsia="Calibri" w:hAnsi="Calibri" w:cs="Times New Roman"/>
        <w:noProof/>
        <w:lang w:val="id-ID" w:eastAsia="id-ID"/>
      </w:rPr>
      <w:drawing>
        <wp:anchor distT="0" distB="0" distL="0" distR="0" simplePos="0" relativeHeight="251659264" behindDoc="0" locked="0" layoutInCell="1" allowOverlap="1" wp14:anchorId="178EDA62" wp14:editId="1AD4E9CA">
          <wp:simplePos x="0" y="0"/>
          <wp:positionH relativeFrom="page">
            <wp:posOffset>5278755</wp:posOffset>
          </wp:positionH>
          <wp:positionV relativeFrom="paragraph">
            <wp:posOffset>31750</wp:posOffset>
          </wp:positionV>
          <wp:extent cx="1172210" cy="797560"/>
          <wp:effectExtent l="0" t="0" r="889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21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71D">
      <w:rPr>
        <w:rFonts w:ascii="Times New Roman" w:eastAsia="Calibri" w:hAnsi="Times New Roman" w:cs="Times New Roman"/>
        <w:sz w:val="24"/>
        <w:lang w:val="id-ID"/>
      </w:rPr>
      <w:t>Journal of Telenursing (JOTING)</w:t>
    </w:r>
  </w:p>
  <w:p w14:paraId="23230E2C" w14:textId="77777777" w:rsidR="00CD471D" w:rsidRPr="00CD471D" w:rsidRDefault="00CD471D" w:rsidP="00CD471D">
    <w:pPr>
      <w:widowControl w:val="0"/>
      <w:autoSpaceDE w:val="0"/>
      <w:autoSpaceDN w:val="0"/>
      <w:spacing w:after="0" w:line="240" w:lineRule="auto"/>
      <w:jc w:val="both"/>
      <w:rPr>
        <w:rFonts w:ascii="Times New Roman" w:eastAsia="Calibri" w:hAnsi="Times New Roman" w:cs="Times New Roman"/>
        <w:sz w:val="24"/>
        <w:lang w:val="id-ID"/>
      </w:rPr>
    </w:pPr>
    <w:r w:rsidRPr="00CD471D">
      <w:rPr>
        <w:rFonts w:ascii="Times New Roman" w:eastAsia="Calibri" w:hAnsi="Times New Roman" w:cs="Times New Roman"/>
        <w:sz w:val="24"/>
        <w:lang w:val="id-ID"/>
      </w:rPr>
      <w:t>Volume 5, Nomor 1, Januari-Juni 2023</w:t>
    </w:r>
  </w:p>
  <w:p w14:paraId="12E3753F" w14:textId="77777777" w:rsidR="00CD471D" w:rsidRPr="00CD471D" w:rsidRDefault="00CD471D" w:rsidP="00CD471D">
    <w:pPr>
      <w:widowControl w:val="0"/>
      <w:autoSpaceDE w:val="0"/>
      <w:autoSpaceDN w:val="0"/>
      <w:spacing w:after="0" w:line="240" w:lineRule="auto"/>
      <w:jc w:val="both"/>
      <w:rPr>
        <w:rFonts w:ascii="Times New Roman" w:eastAsia="Calibri" w:hAnsi="Times New Roman" w:cs="Times New Roman"/>
        <w:sz w:val="24"/>
        <w:lang w:val="id-ID"/>
      </w:rPr>
    </w:pPr>
    <w:r w:rsidRPr="00CD471D">
      <w:rPr>
        <w:rFonts w:ascii="Times New Roman" w:eastAsia="Calibri" w:hAnsi="Times New Roman" w:cs="Times New Roman"/>
        <w:sz w:val="24"/>
        <w:lang w:val="id-ID"/>
      </w:rPr>
      <w:t xml:space="preserve">e-ISSN: </w:t>
    </w:r>
    <w:hyperlink r:id="rId2" w:tgtFrame="_blank" w:history="1">
      <w:r w:rsidRPr="00CD471D">
        <w:rPr>
          <w:rFonts w:ascii="Times New Roman" w:eastAsia="Calibri" w:hAnsi="Times New Roman" w:cs="Times New Roman"/>
          <w:sz w:val="24"/>
          <w:lang w:val="id-ID"/>
        </w:rPr>
        <w:t>2684-8988</w:t>
      </w:r>
    </w:hyperlink>
    <w:r w:rsidRPr="00CD471D">
      <w:rPr>
        <w:rFonts w:ascii="Times New Roman" w:eastAsia="Calibri" w:hAnsi="Times New Roman" w:cs="Times New Roman"/>
        <w:sz w:val="24"/>
        <w:lang w:val="id-ID"/>
      </w:rPr>
      <w:tab/>
    </w:r>
  </w:p>
  <w:p w14:paraId="3B159B66" w14:textId="77777777" w:rsidR="00CD471D" w:rsidRPr="00CD471D" w:rsidRDefault="00CD471D" w:rsidP="00CD471D">
    <w:pPr>
      <w:widowControl w:val="0"/>
      <w:autoSpaceDE w:val="0"/>
      <w:autoSpaceDN w:val="0"/>
      <w:spacing w:after="0" w:line="240" w:lineRule="auto"/>
      <w:jc w:val="both"/>
      <w:rPr>
        <w:rFonts w:ascii="Times New Roman" w:eastAsia="Calibri" w:hAnsi="Times New Roman" w:cs="Times New Roman"/>
        <w:sz w:val="24"/>
        <w:lang w:val="id-ID"/>
      </w:rPr>
    </w:pPr>
    <w:r w:rsidRPr="00CD471D">
      <w:rPr>
        <w:rFonts w:ascii="Times New Roman" w:eastAsia="Calibri" w:hAnsi="Times New Roman" w:cs="Times New Roman"/>
        <w:sz w:val="24"/>
        <w:lang w:val="id-ID"/>
      </w:rPr>
      <w:t xml:space="preserve">p-ISSN: </w:t>
    </w:r>
    <w:hyperlink r:id="rId3" w:tgtFrame="_blank" w:history="1">
      <w:r w:rsidRPr="00CD471D">
        <w:rPr>
          <w:rFonts w:ascii="Times New Roman" w:eastAsia="Calibri" w:hAnsi="Times New Roman" w:cs="Times New Roman"/>
          <w:sz w:val="24"/>
          <w:lang w:val="id-ID"/>
        </w:rPr>
        <w:t>2684-8996</w:t>
      </w:r>
    </w:hyperlink>
  </w:p>
  <w:p w14:paraId="46F763A8" w14:textId="0339A683" w:rsidR="00CD471D" w:rsidRPr="00CD471D" w:rsidRDefault="00CD471D" w:rsidP="00B01219">
    <w:pPr>
      <w:widowControl w:val="0"/>
      <w:tabs>
        <w:tab w:val="left" w:pos="720"/>
        <w:tab w:val="left" w:pos="1391"/>
      </w:tabs>
      <w:autoSpaceDE w:val="0"/>
      <w:autoSpaceDN w:val="0"/>
      <w:spacing w:after="0" w:line="240" w:lineRule="auto"/>
      <w:jc w:val="both"/>
      <w:rPr>
        <w:rFonts w:ascii="Times New Roman" w:eastAsia="Calibri" w:hAnsi="Times New Roman" w:cs="Times New Roman"/>
        <w:sz w:val="24"/>
        <w:lang w:val="id-ID"/>
      </w:rPr>
    </w:pPr>
    <w:r w:rsidRPr="00CD471D">
      <w:rPr>
        <w:rFonts w:ascii="Times New Roman" w:eastAsia="Calibri" w:hAnsi="Times New Roman" w:cs="Times New Roman"/>
        <w:sz w:val="24"/>
        <w:lang w:val="id-ID"/>
      </w:rPr>
      <w:t xml:space="preserve">DOI </w:t>
    </w:r>
    <w:r w:rsidRPr="00CD471D">
      <w:rPr>
        <w:rFonts w:ascii="Times New Roman" w:eastAsia="Calibri" w:hAnsi="Times New Roman" w:cs="Times New Roman"/>
        <w:sz w:val="24"/>
        <w:lang w:val="id-ID"/>
      </w:rPr>
      <w:tab/>
      <w:t xml:space="preserve">: </w:t>
    </w:r>
    <w:r w:rsidR="00B01219" w:rsidRPr="00B01219">
      <w:rPr>
        <w:rFonts w:ascii="Times New Roman" w:eastAsia="Calibri" w:hAnsi="Times New Roman" w:cs="Times New Roman"/>
        <w:sz w:val="24"/>
        <w:lang w:val="id-ID"/>
      </w:rPr>
      <w:t>https://doi.org/10.31539/joting.v5i1.5849</w:t>
    </w:r>
    <w:r w:rsidR="00B01219">
      <w:rPr>
        <w:rFonts w:ascii="Times New Roman" w:eastAsia="Calibri" w:hAnsi="Times New Roman" w:cs="Times New Roman"/>
        <w:sz w:val="24"/>
        <w:lang w:val="id-ID"/>
      </w:rPr>
      <w:tab/>
    </w:r>
  </w:p>
  <w:p w14:paraId="302B7EAB" w14:textId="77777777" w:rsidR="00CD471D" w:rsidRPr="00CD471D" w:rsidRDefault="00CD471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C10FB"/>
    <w:multiLevelType w:val="hybridMultilevel"/>
    <w:tmpl w:val="B10C8F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B8416F4"/>
    <w:multiLevelType w:val="hybridMultilevel"/>
    <w:tmpl w:val="FFFFFFFF"/>
    <w:lvl w:ilvl="0" w:tplc="0409000F">
      <w:start w:val="1"/>
      <w:numFmt w:val="decimal"/>
      <w:lvlText w:val="%1."/>
      <w:lvlJc w:val="left"/>
      <w:pPr>
        <w:ind w:left="1146"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26"/>
    <w:rsid w:val="00042A6A"/>
    <w:rsid w:val="00061694"/>
    <w:rsid w:val="0008697E"/>
    <w:rsid w:val="000E18F5"/>
    <w:rsid w:val="000F4FD5"/>
    <w:rsid w:val="001978C0"/>
    <w:rsid w:val="00197D39"/>
    <w:rsid w:val="001A4C49"/>
    <w:rsid w:val="001C27A1"/>
    <w:rsid w:val="001D7AB6"/>
    <w:rsid w:val="001F4789"/>
    <w:rsid w:val="00264307"/>
    <w:rsid w:val="002971DB"/>
    <w:rsid w:val="002B4EBE"/>
    <w:rsid w:val="002E718A"/>
    <w:rsid w:val="003031FE"/>
    <w:rsid w:val="003111F8"/>
    <w:rsid w:val="003140A2"/>
    <w:rsid w:val="00321878"/>
    <w:rsid w:val="003A0FCD"/>
    <w:rsid w:val="003B4566"/>
    <w:rsid w:val="003D659F"/>
    <w:rsid w:val="004019CD"/>
    <w:rsid w:val="00426B77"/>
    <w:rsid w:val="00440749"/>
    <w:rsid w:val="004443EE"/>
    <w:rsid w:val="00456939"/>
    <w:rsid w:val="004D66B8"/>
    <w:rsid w:val="004E2B6D"/>
    <w:rsid w:val="005000B9"/>
    <w:rsid w:val="00533D81"/>
    <w:rsid w:val="00555309"/>
    <w:rsid w:val="005D3134"/>
    <w:rsid w:val="00615EFA"/>
    <w:rsid w:val="00631A40"/>
    <w:rsid w:val="00633552"/>
    <w:rsid w:val="006C7FE0"/>
    <w:rsid w:val="007538AA"/>
    <w:rsid w:val="00766653"/>
    <w:rsid w:val="00793D5F"/>
    <w:rsid w:val="00796A80"/>
    <w:rsid w:val="007E71FF"/>
    <w:rsid w:val="00820FF7"/>
    <w:rsid w:val="008233FE"/>
    <w:rsid w:val="00835DDB"/>
    <w:rsid w:val="008707F7"/>
    <w:rsid w:val="0089399E"/>
    <w:rsid w:val="008A4F3A"/>
    <w:rsid w:val="008B30D4"/>
    <w:rsid w:val="008E45C0"/>
    <w:rsid w:val="00935D74"/>
    <w:rsid w:val="009A0836"/>
    <w:rsid w:val="009B46D7"/>
    <w:rsid w:val="009D77FB"/>
    <w:rsid w:val="009F1F63"/>
    <w:rsid w:val="00A127C7"/>
    <w:rsid w:val="00A37E26"/>
    <w:rsid w:val="00A65B26"/>
    <w:rsid w:val="00AB0696"/>
    <w:rsid w:val="00AC43A0"/>
    <w:rsid w:val="00AD169B"/>
    <w:rsid w:val="00B01219"/>
    <w:rsid w:val="00B05566"/>
    <w:rsid w:val="00B33592"/>
    <w:rsid w:val="00B83A3A"/>
    <w:rsid w:val="00B95077"/>
    <w:rsid w:val="00BA11A5"/>
    <w:rsid w:val="00BC31F8"/>
    <w:rsid w:val="00BC5310"/>
    <w:rsid w:val="00BE3F15"/>
    <w:rsid w:val="00C62E3C"/>
    <w:rsid w:val="00C65EAA"/>
    <w:rsid w:val="00C86A6B"/>
    <w:rsid w:val="00CB715E"/>
    <w:rsid w:val="00CD471D"/>
    <w:rsid w:val="00CE01B0"/>
    <w:rsid w:val="00CF02F7"/>
    <w:rsid w:val="00D9154F"/>
    <w:rsid w:val="00D95B1F"/>
    <w:rsid w:val="00DD4DF1"/>
    <w:rsid w:val="00E030DB"/>
    <w:rsid w:val="00E200C7"/>
    <w:rsid w:val="00E40FFE"/>
    <w:rsid w:val="00E45096"/>
    <w:rsid w:val="00E45B73"/>
    <w:rsid w:val="00EB4149"/>
    <w:rsid w:val="00F42F33"/>
    <w:rsid w:val="00F8552F"/>
    <w:rsid w:val="00F94699"/>
    <w:rsid w:val="00FB1CB2"/>
    <w:rsid w:val="00FC4419"/>
    <w:rsid w:val="00FE3B67"/>
    <w:rsid w:val="00FF11A8"/>
    <w:rsid w:val="00FF7B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0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30DB"/>
    <w:pPr>
      <w:keepNext/>
      <w:keepLines/>
      <w:spacing w:before="480" w:after="0" w:line="360" w:lineRule="auto"/>
      <w:outlineLvl w:val="0"/>
    </w:pPr>
    <w:rPr>
      <w:rFonts w:asciiTheme="majorHAnsi" w:eastAsiaTheme="majorEastAsia" w:hAnsiTheme="majorHAnsi" w:cs="Times New Roman"/>
      <w:b/>
      <w:bCs/>
      <w:color w:val="2F5496"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B26"/>
    <w:rPr>
      <w:rFonts w:cs="Times New Roman"/>
      <w:color w:val="0563C1" w:themeColor="hyperlink"/>
      <w:u w:val="single"/>
    </w:rPr>
  </w:style>
  <w:style w:type="paragraph" w:styleId="ListParagraph">
    <w:name w:val="List Paragraph"/>
    <w:aliases w:val="Body of text,Heading 1 Char1,SUB-TITLE,UGEX'Z,List Paragraph1,heding 1,ListRa,List Paragraph Laporan,Medium Grid 1 - Accent 21,Body of text+1,Body of text+2,Body of text+3,List Paragraph11,Body of text1,Body of text2,List Paragraph12"/>
    <w:basedOn w:val="Normal"/>
    <w:link w:val="ListParagraphChar"/>
    <w:uiPriority w:val="34"/>
    <w:qFormat/>
    <w:rsid w:val="00A65B26"/>
    <w:pPr>
      <w:spacing w:after="0" w:line="240" w:lineRule="auto"/>
      <w:ind w:left="720"/>
      <w:contextualSpacing/>
    </w:pPr>
    <w:rPr>
      <w:rFonts w:ascii="Times New Roman" w:eastAsia="Times New Roman" w:hAnsi="Times New Roman" w:cs="Times New Roman"/>
      <w:sz w:val="24"/>
      <w:lang w:val="en-US"/>
    </w:rPr>
  </w:style>
  <w:style w:type="paragraph" w:styleId="Header">
    <w:name w:val="header"/>
    <w:basedOn w:val="Normal"/>
    <w:link w:val="HeaderChar"/>
    <w:uiPriority w:val="99"/>
    <w:unhideWhenUsed/>
    <w:rsid w:val="00A65B26"/>
    <w:pPr>
      <w:tabs>
        <w:tab w:val="center" w:pos="4513"/>
        <w:tab w:val="right" w:pos="9026"/>
      </w:tabs>
      <w:spacing w:after="0" w:line="240" w:lineRule="auto"/>
    </w:pPr>
    <w:rPr>
      <w:rFonts w:ascii="Times New Roman" w:eastAsia="Times New Roman" w:hAnsi="Times New Roman" w:cs="Times New Roman"/>
      <w:sz w:val="24"/>
      <w:lang w:val="id-ID"/>
    </w:rPr>
  </w:style>
  <w:style w:type="character" w:customStyle="1" w:styleId="HeaderChar">
    <w:name w:val="Header Char"/>
    <w:basedOn w:val="DefaultParagraphFont"/>
    <w:link w:val="Header"/>
    <w:uiPriority w:val="99"/>
    <w:rsid w:val="00A65B26"/>
    <w:rPr>
      <w:rFonts w:ascii="Times New Roman" w:eastAsia="Times New Roman" w:hAnsi="Times New Roman" w:cs="Times New Roman"/>
      <w:sz w:val="24"/>
      <w:lang w:val="id-ID"/>
    </w:rPr>
  </w:style>
  <w:style w:type="paragraph" w:styleId="Footer">
    <w:name w:val="footer"/>
    <w:basedOn w:val="Normal"/>
    <w:link w:val="FooterChar"/>
    <w:uiPriority w:val="99"/>
    <w:unhideWhenUsed/>
    <w:rsid w:val="00A65B26"/>
    <w:pPr>
      <w:tabs>
        <w:tab w:val="center" w:pos="4513"/>
        <w:tab w:val="right" w:pos="9026"/>
      </w:tabs>
      <w:spacing w:after="0" w:line="240" w:lineRule="auto"/>
    </w:pPr>
    <w:rPr>
      <w:rFonts w:ascii="Times New Roman" w:eastAsia="Times New Roman" w:hAnsi="Times New Roman" w:cs="Times New Roman"/>
      <w:sz w:val="24"/>
      <w:lang w:val="id-ID"/>
    </w:rPr>
  </w:style>
  <w:style w:type="character" w:customStyle="1" w:styleId="FooterChar">
    <w:name w:val="Footer Char"/>
    <w:basedOn w:val="DefaultParagraphFont"/>
    <w:link w:val="Footer"/>
    <w:uiPriority w:val="99"/>
    <w:rsid w:val="00A65B26"/>
    <w:rPr>
      <w:rFonts w:ascii="Times New Roman" w:eastAsia="Times New Roman" w:hAnsi="Times New Roman" w:cs="Times New Roman"/>
      <w:sz w:val="24"/>
      <w:lang w:val="id-ID"/>
    </w:rPr>
  </w:style>
  <w:style w:type="character" w:customStyle="1" w:styleId="ListParagraphChar">
    <w:name w:val="List Paragraph Char"/>
    <w:aliases w:val="Body of text Char,Heading 1 Char1 Char,SUB-TITLE Char,UGEX'Z Char,List Paragraph1 Char,heding 1 Char,ListRa Char,List Paragraph Laporan Char,Medium Grid 1 - Accent 21 Char,Body of text+1 Char,Body of text+2 Char,Body of text+3 Char"/>
    <w:basedOn w:val="DefaultParagraphFont"/>
    <w:link w:val="ListParagraph"/>
    <w:uiPriority w:val="34"/>
    <w:qFormat/>
    <w:locked/>
    <w:rsid w:val="00A65B26"/>
    <w:rPr>
      <w:rFonts w:ascii="Times New Roman" w:eastAsia="Times New Roman" w:hAnsi="Times New Roman" w:cs="Times New Roman"/>
      <w:sz w:val="24"/>
      <w:lang w:val="en-US"/>
    </w:rPr>
  </w:style>
  <w:style w:type="paragraph" w:styleId="BodyText">
    <w:name w:val="Body Text"/>
    <w:basedOn w:val="Normal"/>
    <w:link w:val="BodyTextChar"/>
    <w:uiPriority w:val="1"/>
    <w:qFormat/>
    <w:rsid w:val="00A65B2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65B26"/>
    <w:rPr>
      <w:rFonts w:ascii="Times New Roman" w:eastAsia="Times New Roman" w:hAnsi="Times New Roman" w:cs="Times New Roman"/>
      <w:sz w:val="24"/>
      <w:szCs w:val="24"/>
      <w:lang w:val="id"/>
    </w:rPr>
  </w:style>
  <w:style w:type="table" w:styleId="TableGrid">
    <w:name w:val="Table Grid"/>
    <w:basedOn w:val="TableNormal"/>
    <w:uiPriority w:val="39"/>
    <w:rsid w:val="00A6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30DB"/>
    <w:rPr>
      <w:rFonts w:asciiTheme="majorHAnsi" w:eastAsiaTheme="majorEastAsia" w:hAnsiTheme="majorHAnsi" w:cs="Times New Roman"/>
      <w:b/>
      <w:bCs/>
      <w:color w:val="2F5496" w:themeColor="accent1" w:themeShade="BF"/>
      <w:sz w:val="28"/>
      <w:szCs w:val="28"/>
      <w:lang w:val="id-ID"/>
    </w:rPr>
  </w:style>
  <w:style w:type="character" w:styleId="Emphasis">
    <w:name w:val="Emphasis"/>
    <w:basedOn w:val="DefaultParagraphFont"/>
    <w:uiPriority w:val="20"/>
    <w:qFormat/>
    <w:rsid w:val="00E030DB"/>
    <w:rPr>
      <w:rFonts w:cs="Times New Roman"/>
      <w:i/>
      <w:iCs/>
    </w:rPr>
  </w:style>
  <w:style w:type="character" w:customStyle="1" w:styleId="personname">
    <w:name w:val="person_name"/>
    <w:basedOn w:val="DefaultParagraphFont"/>
    <w:rsid w:val="00E030DB"/>
    <w:rPr>
      <w:rFonts w:cs="Times New Roman"/>
    </w:rPr>
  </w:style>
  <w:style w:type="paragraph" w:customStyle="1" w:styleId="JNAbstract">
    <w:name w:val="JN Abstract"/>
    <w:basedOn w:val="Normal"/>
    <w:link w:val="JNAbstractChar"/>
    <w:qFormat/>
    <w:rsid w:val="001F4789"/>
    <w:pPr>
      <w:spacing w:after="120" w:line="276" w:lineRule="auto"/>
      <w:jc w:val="both"/>
    </w:pPr>
    <w:rPr>
      <w:rFonts w:ascii="Cambria" w:eastAsia="Times New Roman" w:hAnsi="Cambria" w:cs="Times New Roman"/>
      <w:szCs w:val="18"/>
      <w:lang w:val="id-ID" w:eastAsia="id-ID"/>
    </w:rPr>
  </w:style>
  <w:style w:type="character" w:customStyle="1" w:styleId="JNAbstractChar">
    <w:name w:val="JN Abstract Char"/>
    <w:link w:val="JNAbstract"/>
    <w:rsid w:val="001F4789"/>
    <w:rPr>
      <w:rFonts w:ascii="Cambria" w:eastAsia="Times New Roman" w:hAnsi="Cambria" w:cs="Times New Roman"/>
      <w:szCs w:val="18"/>
      <w:lang w:val="id-ID" w:eastAsia="id-ID"/>
    </w:rPr>
  </w:style>
  <w:style w:type="character" w:styleId="CommentReference">
    <w:name w:val="annotation reference"/>
    <w:basedOn w:val="DefaultParagraphFont"/>
    <w:uiPriority w:val="99"/>
    <w:unhideWhenUsed/>
    <w:qFormat/>
    <w:rsid w:val="002B4EBE"/>
    <w:rPr>
      <w:sz w:val="16"/>
      <w:szCs w:val="16"/>
    </w:rPr>
  </w:style>
  <w:style w:type="paragraph" w:styleId="CommentText">
    <w:name w:val="annotation text"/>
    <w:basedOn w:val="Normal"/>
    <w:link w:val="CommentTextChar"/>
    <w:uiPriority w:val="99"/>
    <w:unhideWhenUsed/>
    <w:qFormat/>
    <w:rsid w:val="002B4EBE"/>
    <w:pPr>
      <w:spacing w:line="240" w:lineRule="auto"/>
    </w:pPr>
    <w:rPr>
      <w:sz w:val="20"/>
      <w:szCs w:val="20"/>
    </w:rPr>
  </w:style>
  <w:style w:type="character" w:customStyle="1" w:styleId="CommentTextChar">
    <w:name w:val="Comment Text Char"/>
    <w:basedOn w:val="DefaultParagraphFont"/>
    <w:link w:val="CommentText"/>
    <w:uiPriority w:val="99"/>
    <w:qFormat/>
    <w:rsid w:val="002B4EBE"/>
    <w:rPr>
      <w:sz w:val="20"/>
      <w:szCs w:val="20"/>
    </w:rPr>
  </w:style>
  <w:style w:type="paragraph" w:styleId="CommentSubject">
    <w:name w:val="annotation subject"/>
    <w:basedOn w:val="CommentText"/>
    <w:next w:val="CommentText"/>
    <w:link w:val="CommentSubjectChar"/>
    <w:uiPriority w:val="99"/>
    <w:semiHidden/>
    <w:unhideWhenUsed/>
    <w:rsid w:val="002B4EBE"/>
    <w:rPr>
      <w:b/>
      <w:bCs/>
    </w:rPr>
  </w:style>
  <w:style w:type="character" w:customStyle="1" w:styleId="CommentSubjectChar">
    <w:name w:val="Comment Subject Char"/>
    <w:basedOn w:val="CommentTextChar"/>
    <w:link w:val="CommentSubject"/>
    <w:uiPriority w:val="99"/>
    <w:semiHidden/>
    <w:rsid w:val="002B4EBE"/>
    <w:rPr>
      <w:b/>
      <w:bCs/>
      <w:sz w:val="20"/>
      <w:szCs w:val="20"/>
    </w:rPr>
  </w:style>
  <w:style w:type="paragraph" w:styleId="BalloonText">
    <w:name w:val="Balloon Text"/>
    <w:basedOn w:val="Normal"/>
    <w:link w:val="BalloonTextChar"/>
    <w:uiPriority w:val="99"/>
    <w:semiHidden/>
    <w:unhideWhenUsed/>
    <w:rsid w:val="002B4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EBE"/>
    <w:rPr>
      <w:rFonts w:ascii="Tahoma" w:hAnsi="Tahoma" w:cs="Tahoma"/>
      <w:sz w:val="16"/>
      <w:szCs w:val="16"/>
    </w:rPr>
  </w:style>
  <w:style w:type="paragraph" w:styleId="NormalWeb">
    <w:name w:val="Normal (Web)"/>
    <w:basedOn w:val="Normal"/>
    <w:uiPriority w:val="99"/>
    <w:semiHidden/>
    <w:unhideWhenUsed/>
    <w:rsid w:val="002B4EBE"/>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30DB"/>
    <w:pPr>
      <w:keepNext/>
      <w:keepLines/>
      <w:spacing w:before="480" w:after="0" w:line="360" w:lineRule="auto"/>
      <w:outlineLvl w:val="0"/>
    </w:pPr>
    <w:rPr>
      <w:rFonts w:asciiTheme="majorHAnsi" w:eastAsiaTheme="majorEastAsia" w:hAnsiTheme="majorHAnsi" w:cs="Times New Roman"/>
      <w:b/>
      <w:bCs/>
      <w:color w:val="2F5496"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B26"/>
    <w:rPr>
      <w:rFonts w:cs="Times New Roman"/>
      <w:color w:val="0563C1" w:themeColor="hyperlink"/>
      <w:u w:val="single"/>
    </w:rPr>
  </w:style>
  <w:style w:type="paragraph" w:styleId="ListParagraph">
    <w:name w:val="List Paragraph"/>
    <w:aliases w:val="Body of text,Heading 1 Char1,SUB-TITLE,UGEX'Z,List Paragraph1,heding 1,ListRa,List Paragraph Laporan,Medium Grid 1 - Accent 21,Body of text+1,Body of text+2,Body of text+3,List Paragraph11,Body of text1,Body of text2,List Paragraph12"/>
    <w:basedOn w:val="Normal"/>
    <w:link w:val="ListParagraphChar"/>
    <w:uiPriority w:val="34"/>
    <w:qFormat/>
    <w:rsid w:val="00A65B26"/>
    <w:pPr>
      <w:spacing w:after="0" w:line="240" w:lineRule="auto"/>
      <w:ind w:left="720"/>
      <w:contextualSpacing/>
    </w:pPr>
    <w:rPr>
      <w:rFonts w:ascii="Times New Roman" w:eastAsia="Times New Roman" w:hAnsi="Times New Roman" w:cs="Times New Roman"/>
      <w:sz w:val="24"/>
      <w:lang w:val="en-US"/>
    </w:rPr>
  </w:style>
  <w:style w:type="paragraph" w:styleId="Header">
    <w:name w:val="header"/>
    <w:basedOn w:val="Normal"/>
    <w:link w:val="HeaderChar"/>
    <w:uiPriority w:val="99"/>
    <w:unhideWhenUsed/>
    <w:rsid w:val="00A65B26"/>
    <w:pPr>
      <w:tabs>
        <w:tab w:val="center" w:pos="4513"/>
        <w:tab w:val="right" w:pos="9026"/>
      </w:tabs>
      <w:spacing w:after="0" w:line="240" w:lineRule="auto"/>
    </w:pPr>
    <w:rPr>
      <w:rFonts w:ascii="Times New Roman" w:eastAsia="Times New Roman" w:hAnsi="Times New Roman" w:cs="Times New Roman"/>
      <w:sz w:val="24"/>
      <w:lang w:val="id-ID"/>
    </w:rPr>
  </w:style>
  <w:style w:type="character" w:customStyle="1" w:styleId="HeaderChar">
    <w:name w:val="Header Char"/>
    <w:basedOn w:val="DefaultParagraphFont"/>
    <w:link w:val="Header"/>
    <w:uiPriority w:val="99"/>
    <w:rsid w:val="00A65B26"/>
    <w:rPr>
      <w:rFonts w:ascii="Times New Roman" w:eastAsia="Times New Roman" w:hAnsi="Times New Roman" w:cs="Times New Roman"/>
      <w:sz w:val="24"/>
      <w:lang w:val="id-ID"/>
    </w:rPr>
  </w:style>
  <w:style w:type="paragraph" w:styleId="Footer">
    <w:name w:val="footer"/>
    <w:basedOn w:val="Normal"/>
    <w:link w:val="FooterChar"/>
    <w:uiPriority w:val="99"/>
    <w:unhideWhenUsed/>
    <w:rsid w:val="00A65B26"/>
    <w:pPr>
      <w:tabs>
        <w:tab w:val="center" w:pos="4513"/>
        <w:tab w:val="right" w:pos="9026"/>
      </w:tabs>
      <w:spacing w:after="0" w:line="240" w:lineRule="auto"/>
    </w:pPr>
    <w:rPr>
      <w:rFonts w:ascii="Times New Roman" w:eastAsia="Times New Roman" w:hAnsi="Times New Roman" w:cs="Times New Roman"/>
      <w:sz w:val="24"/>
      <w:lang w:val="id-ID"/>
    </w:rPr>
  </w:style>
  <w:style w:type="character" w:customStyle="1" w:styleId="FooterChar">
    <w:name w:val="Footer Char"/>
    <w:basedOn w:val="DefaultParagraphFont"/>
    <w:link w:val="Footer"/>
    <w:uiPriority w:val="99"/>
    <w:rsid w:val="00A65B26"/>
    <w:rPr>
      <w:rFonts w:ascii="Times New Roman" w:eastAsia="Times New Roman" w:hAnsi="Times New Roman" w:cs="Times New Roman"/>
      <w:sz w:val="24"/>
      <w:lang w:val="id-ID"/>
    </w:rPr>
  </w:style>
  <w:style w:type="character" w:customStyle="1" w:styleId="ListParagraphChar">
    <w:name w:val="List Paragraph Char"/>
    <w:aliases w:val="Body of text Char,Heading 1 Char1 Char,SUB-TITLE Char,UGEX'Z Char,List Paragraph1 Char,heding 1 Char,ListRa Char,List Paragraph Laporan Char,Medium Grid 1 - Accent 21 Char,Body of text+1 Char,Body of text+2 Char,Body of text+3 Char"/>
    <w:basedOn w:val="DefaultParagraphFont"/>
    <w:link w:val="ListParagraph"/>
    <w:uiPriority w:val="34"/>
    <w:qFormat/>
    <w:locked/>
    <w:rsid w:val="00A65B26"/>
    <w:rPr>
      <w:rFonts w:ascii="Times New Roman" w:eastAsia="Times New Roman" w:hAnsi="Times New Roman" w:cs="Times New Roman"/>
      <w:sz w:val="24"/>
      <w:lang w:val="en-US"/>
    </w:rPr>
  </w:style>
  <w:style w:type="paragraph" w:styleId="BodyText">
    <w:name w:val="Body Text"/>
    <w:basedOn w:val="Normal"/>
    <w:link w:val="BodyTextChar"/>
    <w:uiPriority w:val="1"/>
    <w:qFormat/>
    <w:rsid w:val="00A65B2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65B26"/>
    <w:rPr>
      <w:rFonts w:ascii="Times New Roman" w:eastAsia="Times New Roman" w:hAnsi="Times New Roman" w:cs="Times New Roman"/>
      <w:sz w:val="24"/>
      <w:szCs w:val="24"/>
      <w:lang w:val="id"/>
    </w:rPr>
  </w:style>
  <w:style w:type="table" w:styleId="TableGrid">
    <w:name w:val="Table Grid"/>
    <w:basedOn w:val="TableNormal"/>
    <w:uiPriority w:val="39"/>
    <w:rsid w:val="00A6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30DB"/>
    <w:rPr>
      <w:rFonts w:asciiTheme="majorHAnsi" w:eastAsiaTheme="majorEastAsia" w:hAnsiTheme="majorHAnsi" w:cs="Times New Roman"/>
      <w:b/>
      <w:bCs/>
      <w:color w:val="2F5496" w:themeColor="accent1" w:themeShade="BF"/>
      <w:sz w:val="28"/>
      <w:szCs w:val="28"/>
      <w:lang w:val="id-ID"/>
    </w:rPr>
  </w:style>
  <w:style w:type="character" w:styleId="Emphasis">
    <w:name w:val="Emphasis"/>
    <w:basedOn w:val="DefaultParagraphFont"/>
    <w:uiPriority w:val="20"/>
    <w:qFormat/>
    <w:rsid w:val="00E030DB"/>
    <w:rPr>
      <w:rFonts w:cs="Times New Roman"/>
      <w:i/>
      <w:iCs/>
    </w:rPr>
  </w:style>
  <w:style w:type="character" w:customStyle="1" w:styleId="personname">
    <w:name w:val="person_name"/>
    <w:basedOn w:val="DefaultParagraphFont"/>
    <w:rsid w:val="00E030DB"/>
    <w:rPr>
      <w:rFonts w:cs="Times New Roman"/>
    </w:rPr>
  </w:style>
  <w:style w:type="paragraph" w:customStyle="1" w:styleId="JNAbstract">
    <w:name w:val="JN Abstract"/>
    <w:basedOn w:val="Normal"/>
    <w:link w:val="JNAbstractChar"/>
    <w:qFormat/>
    <w:rsid w:val="001F4789"/>
    <w:pPr>
      <w:spacing w:after="120" w:line="276" w:lineRule="auto"/>
      <w:jc w:val="both"/>
    </w:pPr>
    <w:rPr>
      <w:rFonts w:ascii="Cambria" w:eastAsia="Times New Roman" w:hAnsi="Cambria" w:cs="Times New Roman"/>
      <w:szCs w:val="18"/>
      <w:lang w:val="id-ID" w:eastAsia="id-ID"/>
    </w:rPr>
  </w:style>
  <w:style w:type="character" w:customStyle="1" w:styleId="JNAbstractChar">
    <w:name w:val="JN Abstract Char"/>
    <w:link w:val="JNAbstract"/>
    <w:rsid w:val="001F4789"/>
    <w:rPr>
      <w:rFonts w:ascii="Cambria" w:eastAsia="Times New Roman" w:hAnsi="Cambria" w:cs="Times New Roman"/>
      <w:szCs w:val="18"/>
      <w:lang w:val="id-ID" w:eastAsia="id-ID"/>
    </w:rPr>
  </w:style>
  <w:style w:type="character" w:styleId="CommentReference">
    <w:name w:val="annotation reference"/>
    <w:basedOn w:val="DefaultParagraphFont"/>
    <w:uiPriority w:val="99"/>
    <w:unhideWhenUsed/>
    <w:qFormat/>
    <w:rsid w:val="002B4EBE"/>
    <w:rPr>
      <w:sz w:val="16"/>
      <w:szCs w:val="16"/>
    </w:rPr>
  </w:style>
  <w:style w:type="paragraph" w:styleId="CommentText">
    <w:name w:val="annotation text"/>
    <w:basedOn w:val="Normal"/>
    <w:link w:val="CommentTextChar"/>
    <w:uiPriority w:val="99"/>
    <w:unhideWhenUsed/>
    <w:qFormat/>
    <w:rsid w:val="002B4EBE"/>
    <w:pPr>
      <w:spacing w:line="240" w:lineRule="auto"/>
    </w:pPr>
    <w:rPr>
      <w:sz w:val="20"/>
      <w:szCs w:val="20"/>
    </w:rPr>
  </w:style>
  <w:style w:type="character" w:customStyle="1" w:styleId="CommentTextChar">
    <w:name w:val="Comment Text Char"/>
    <w:basedOn w:val="DefaultParagraphFont"/>
    <w:link w:val="CommentText"/>
    <w:uiPriority w:val="99"/>
    <w:qFormat/>
    <w:rsid w:val="002B4EBE"/>
    <w:rPr>
      <w:sz w:val="20"/>
      <w:szCs w:val="20"/>
    </w:rPr>
  </w:style>
  <w:style w:type="paragraph" w:styleId="CommentSubject">
    <w:name w:val="annotation subject"/>
    <w:basedOn w:val="CommentText"/>
    <w:next w:val="CommentText"/>
    <w:link w:val="CommentSubjectChar"/>
    <w:uiPriority w:val="99"/>
    <w:semiHidden/>
    <w:unhideWhenUsed/>
    <w:rsid w:val="002B4EBE"/>
    <w:rPr>
      <w:b/>
      <w:bCs/>
    </w:rPr>
  </w:style>
  <w:style w:type="character" w:customStyle="1" w:styleId="CommentSubjectChar">
    <w:name w:val="Comment Subject Char"/>
    <w:basedOn w:val="CommentTextChar"/>
    <w:link w:val="CommentSubject"/>
    <w:uiPriority w:val="99"/>
    <w:semiHidden/>
    <w:rsid w:val="002B4EBE"/>
    <w:rPr>
      <w:b/>
      <w:bCs/>
      <w:sz w:val="20"/>
      <w:szCs w:val="20"/>
    </w:rPr>
  </w:style>
  <w:style w:type="paragraph" w:styleId="BalloonText">
    <w:name w:val="Balloon Text"/>
    <w:basedOn w:val="Normal"/>
    <w:link w:val="BalloonTextChar"/>
    <w:uiPriority w:val="99"/>
    <w:semiHidden/>
    <w:unhideWhenUsed/>
    <w:rsid w:val="002B4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EBE"/>
    <w:rPr>
      <w:rFonts w:ascii="Tahoma" w:hAnsi="Tahoma" w:cs="Tahoma"/>
      <w:sz w:val="16"/>
      <w:szCs w:val="16"/>
    </w:rPr>
  </w:style>
  <w:style w:type="paragraph" w:styleId="NormalWeb">
    <w:name w:val="Normal (Web)"/>
    <w:basedOn w:val="Normal"/>
    <w:uiPriority w:val="99"/>
    <w:semiHidden/>
    <w:unhideWhenUsed/>
    <w:rsid w:val="002B4EBE"/>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4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issn.lipi.go.id/issn.cgi?daftar&amp;1540891472&amp;1&amp;&amp;" TargetMode="External"/><Relationship Id="rId2" Type="http://schemas.openxmlformats.org/officeDocument/2006/relationships/hyperlink" Target="http://issn.lipi.go.id/issn.cgi?daftar&amp;1540892176&amp;1&amp;&amp;"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8D45A-51A3-4B22-94D6-A36682E4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9</Pages>
  <Words>11644</Words>
  <Characters>66376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dc:creator>
  <cp:lastModifiedBy>EB</cp:lastModifiedBy>
  <cp:revision>16</cp:revision>
  <cp:lastPrinted>2023-05-15T04:43:00Z</cp:lastPrinted>
  <dcterms:created xsi:type="dcterms:W3CDTF">2023-04-13T07:46:00Z</dcterms:created>
  <dcterms:modified xsi:type="dcterms:W3CDTF">2023-05-15T04:43:00Z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be039d46-9b2f-3e95-a5e7-81fd6557265d</vt:lpwstr>
  </property>
  <property fmtid="{D5CDD505-2E9C-101B-9397-08002B2CF9AE}" pid="24" name="Mendeley Citation Style_1">
    <vt:lpwstr>http://www.zotero.org/styles/apa</vt:lpwstr>
  </property>
</Properties>
</file>